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0C" w:rsidRPr="00C06F95" w:rsidRDefault="00C06F95" w:rsidP="00B3486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Кратко о механизме</w:t>
      </w:r>
      <w:r w:rsidR="00B3486E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СЗПК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мерах поддержки</w:t>
      </w:r>
    </w:p>
    <w:p w:rsidR="00D5470C" w:rsidRPr="00C06F95" w:rsidRDefault="00D5470C" w:rsidP="00D5470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5470C" w:rsidRPr="00C06F95" w:rsidRDefault="00D5470C" w:rsidP="00D5470C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Инвестиционный проект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– это проект, направленный на создание (строительство) либо реконструкцию и (или) модернизацию,</w:t>
      </w:r>
      <w:r w:rsidRPr="00C06F95">
        <w:rPr>
          <w:color w:val="auto"/>
        </w:rPr>
        <w:t xml:space="preserve">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проводимую в</w:t>
      </w:r>
      <w:r w:rsidR="00B3486E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проектной документацией, получившей положительное заключение </w:t>
      </w:r>
      <w:r w:rsidRPr="00C06F9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экспертизы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, и последующую эксплуатацию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приравненных к ним средств индивидуализации.</w:t>
      </w:r>
    </w:p>
    <w:p w:rsidR="00D904E6" w:rsidRPr="00C06F95" w:rsidRDefault="00D5470C" w:rsidP="00D5470C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Капиталовложения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– это собственные и (или) заемные денежные средства организации, реализующей проект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ОРП)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, вложенные в инвестиционный проект на</w:t>
      </w:r>
      <w:r w:rsidR="00B3486E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C06F95">
        <w:rPr>
          <w:rFonts w:ascii="Times New Roman" w:hAnsi="Times New Roman" w:cs="Times New Roman"/>
          <w:color w:val="auto"/>
          <w:sz w:val="28"/>
          <w:szCs w:val="28"/>
        </w:rPr>
        <w:t>пред</w:t>
      </w:r>
      <w:r w:rsidR="00B22D3A" w:rsidRPr="00C06F9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нвестиционной</w:t>
      </w:r>
      <w:proofErr w:type="spellEnd"/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и инвестиционной стадиях. </w:t>
      </w:r>
    </w:p>
    <w:p w:rsidR="00D5470C" w:rsidRPr="00C06F95" w:rsidRDefault="00D5470C" w:rsidP="00D5470C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При реализации инвестиционного проекта в сфере здравоохранения, образования, культуры или</w:t>
      </w:r>
      <w:r w:rsidR="00D904E6"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физической культуры и спорта капиталовложениями также являются средства, предоставленные 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ОРП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ее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инвестором (инвесторами) в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качестве пожертвований. Не относятся к</w:t>
      </w:r>
      <w:r w:rsidR="00D904E6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капиталовложениям денежные средства, полученные из бюджета бюджетной системы Российской Федерации, а также денежные средства, полученные от</w:t>
      </w:r>
      <w:r w:rsidR="00D904E6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организаций с публичным участием, которые подлежат казначейскому сопровождению.</w:t>
      </w:r>
    </w:p>
    <w:p w:rsidR="00D5470C" w:rsidRPr="00C06F95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1 апреля 2020 г. вступил в </w:t>
      </w:r>
      <w:r w:rsidRPr="00C06F95">
        <w:rPr>
          <w:rFonts w:ascii="Times New Roman" w:hAnsi="Times New Roman" w:cs="Times New Roman"/>
          <w:bCs/>
          <w:color w:val="auto"/>
          <w:sz w:val="28"/>
          <w:szCs w:val="28"/>
        </w:rPr>
        <w:t>силу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Федеральный закон № 69-ФЗ «О защите и</w:t>
      </w:r>
      <w:r w:rsidR="00B3486E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поощрении капиталовложений в Российской Федерации»,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который ввел 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новую форму инвестиционного сотрудничества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государства и бизнеса – 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соглашения о защите и поощрении капиталовложений </w:t>
      </w:r>
      <w:r w:rsidRPr="00C06F95">
        <w:rPr>
          <w:rFonts w:ascii="Times New Roman" w:hAnsi="Times New Roman" w:cs="Times New Roman"/>
          <w:bCs/>
          <w:color w:val="auto"/>
          <w:sz w:val="28"/>
          <w:szCs w:val="28"/>
        </w:rPr>
        <w:t>(далее - СЗПК).</w:t>
      </w:r>
    </w:p>
    <w:p w:rsidR="00D5470C" w:rsidRPr="00C06F95" w:rsidRDefault="00D5470C" w:rsidP="00D5470C">
      <w:pPr>
        <w:pStyle w:val="Default"/>
        <w:spacing w:before="160" w:after="16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Механизм СЗПК создан, в первую очередь, для защиты интересов инвестора и государства, а также формирования прогнозируемых условий реализации крупных инвестиционных проектов.</w:t>
      </w:r>
    </w:p>
    <w:p w:rsidR="00D5470C" w:rsidRPr="00C06F95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В целях совершенствования и перезапуска механизма СЗПК с учетом накопленного опыта 28 июня 2022 г. принят Федеральный закон № 226-ФЗ «О</w:t>
      </w:r>
      <w:r w:rsidR="00B3486E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внесении изменений в Федеральный закон «О защите и поощрении капиталовложений в Российской Федерации»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A75F8"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A75F8" w:rsidRPr="00C06F95" w:rsidRDefault="00EA75F8" w:rsidP="00EA75F8">
      <w:pPr>
        <w:pStyle w:val="aa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C06F95">
        <w:rPr>
          <w:rFonts w:ascii="Times New Roman" w:hAnsi="Times New Roman" w:cs="Times New Roman"/>
          <w:sz w:val="28"/>
          <w:szCs w:val="28"/>
        </w:rPr>
        <w:t xml:space="preserve"> «новизны» инвестиционного проекта в отношении даты начала нового инвестиционного проекта определены:</w:t>
      </w:r>
    </w:p>
    <w:p w:rsidR="00EA75F8" w:rsidRPr="00C06F95" w:rsidRDefault="00EA75F8" w:rsidP="00EA75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>1) датой получения первичного разрешения на строительство объектов недвижимого имущества;</w:t>
      </w:r>
    </w:p>
    <w:p w:rsidR="00EA75F8" w:rsidRPr="00C06F95" w:rsidRDefault="00EA75F8" w:rsidP="00EA75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 xml:space="preserve">2) принятием решения о бюджете после 1 апреля 2020 года до получения соответствующего разрешения на строительство или в срок не позднее </w:t>
      </w:r>
      <w:r w:rsidRPr="00C06F95">
        <w:rPr>
          <w:rFonts w:ascii="Times New Roman" w:hAnsi="Times New Roman" w:cs="Times New Roman"/>
          <w:sz w:val="28"/>
          <w:szCs w:val="28"/>
        </w:rPr>
        <w:br/>
        <w:t xml:space="preserve">180 календарных дней со дня получения соответствующего разрешения </w:t>
      </w:r>
      <w:r w:rsidRPr="00C06F95">
        <w:rPr>
          <w:rFonts w:ascii="Times New Roman" w:hAnsi="Times New Roman" w:cs="Times New Roman"/>
          <w:sz w:val="28"/>
          <w:szCs w:val="28"/>
        </w:rPr>
        <w:br/>
        <w:t>на строительство;</w:t>
      </w:r>
    </w:p>
    <w:p w:rsidR="00EA75F8" w:rsidRPr="00C06F95" w:rsidRDefault="00EA75F8" w:rsidP="00EA75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 xml:space="preserve">3) подачей заявки на заключение СЗПК в срок не позднее 1 года после принятия решения о бюджете проекта. </w:t>
      </w:r>
    </w:p>
    <w:p w:rsidR="00EA75F8" w:rsidRPr="00C06F95" w:rsidRDefault="00D5470C" w:rsidP="00EA75F8">
      <w:pPr>
        <w:pStyle w:val="Default"/>
        <w:numPr>
          <w:ilvl w:val="0"/>
          <w:numId w:val="6"/>
        </w:numPr>
        <w:spacing w:before="160" w:after="60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СЗПК – это 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, позволяющ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бизнесу получить следующие 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меры </w:t>
      </w:r>
      <w:r w:rsidRPr="00C06F95">
        <w:rPr>
          <w:rFonts w:ascii="Times New Roman" w:hAnsi="Times New Roman" w:cs="Times New Roman"/>
          <w:b/>
          <w:color w:val="auto"/>
          <w:sz w:val="28"/>
          <w:szCs w:val="28"/>
        </w:rPr>
        <w:t>поддержки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A75F8" w:rsidRPr="00C06F95" w:rsidRDefault="00EA75F8" w:rsidP="00EA75F8">
      <w:pPr>
        <w:pStyle w:val="Default"/>
        <w:spacing w:before="160" w:after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0C1D" w:rsidRPr="00C06F95" w:rsidRDefault="00790C1D" w:rsidP="00790C1D">
      <w:pPr>
        <w:pStyle w:val="Defaul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</w:t>
      </w:r>
      <w:r w:rsidR="00D5470C" w:rsidRPr="00C06F95">
        <w:rPr>
          <w:rFonts w:ascii="Times New Roman" w:hAnsi="Times New Roman" w:cs="Times New Roman"/>
          <w:b/>
          <w:color w:val="auto"/>
          <w:sz w:val="28"/>
          <w:szCs w:val="28"/>
        </w:rPr>
        <w:t>табилизировать законодательство</w:t>
      </w:r>
      <w:r w:rsidRPr="00C06F9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790C1D" w:rsidRPr="00C06F95" w:rsidRDefault="00790C1D" w:rsidP="00790C1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>по налогу на прибыль организаций, налогу на имущество организаций, транспортному и земельному налогам, срокам уплаты и порядку возмещения НДС, новым налогам и сборам – на срок от 6 до 20 лет в зависимости от объема капиталовложений;</w:t>
      </w:r>
    </w:p>
    <w:p w:rsidR="00790C1D" w:rsidRPr="00C06F95" w:rsidRDefault="00790C1D" w:rsidP="00790C1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>по условиям землепользования и градостроительной деятельности – на 3 года;</w:t>
      </w:r>
    </w:p>
    <w:p w:rsidR="00790C1D" w:rsidRPr="00C06F95" w:rsidRDefault="00790C1D" w:rsidP="00790C1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>по условиям предоставления мер государственной поддержки – на срок предоставления меры поддержки.</w:t>
      </w:r>
    </w:p>
    <w:p w:rsidR="00790C1D" w:rsidRPr="00C06F95" w:rsidRDefault="00790C1D" w:rsidP="00790C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 xml:space="preserve">В случае осуществления собственных инвестиций (капиталовложений) </w:t>
      </w:r>
      <w:r w:rsidRPr="00C06F95">
        <w:rPr>
          <w:rFonts w:ascii="Times New Roman" w:hAnsi="Times New Roman" w:cs="Times New Roman"/>
          <w:sz w:val="28"/>
          <w:szCs w:val="28"/>
        </w:rPr>
        <w:br/>
        <w:t>в объеме более 15 млрд рублей в «стабилизационную оговорку» также могу быть включены:</w:t>
      </w:r>
    </w:p>
    <w:p w:rsidR="00790C1D" w:rsidRPr="00C06F95" w:rsidRDefault="00790C1D" w:rsidP="00790C1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>вывозные таможенные пошлины – 20 лет;</w:t>
      </w:r>
    </w:p>
    <w:p w:rsidR="00D5470C" w:rsidRPr="00C06F95" w:rsidRDefault="00790C1D" w:rsidP="00790C1D">
      <w:pPr>
        <w:pStyle w:val="Defaul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неналоговые платежи (плата за негативное воздействие на окружающую среду, плата за пользование водными объектами, экологический сбор), плата за единицу объема лесных ресурсов, порядок определения общего размера арендной платы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br/>
        <w:t xml:space="preserve">за лесной участок – на 3 </w:t>
      </w:r>
      <w:proofErr w:type="gramStart"/>
      <w:r w:rsidRPr="00C06F95">
        <w:rPr>
          <w:rFonts w:ascii="Times New Roman" w:hAnsi="Times New Roman" w:cs="Times New Roman"/>
          <w:color w:val="auto"/>
          <w:sz w:val="28"/>
          <w:szCs w:val="28"/>
        </w:rPr>
        <w:t>года.</w:t>
      </w:r>
      <w:r w:rsidR="00D5470C" w:rsidRPr="00C06F95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790C1D" w:rsidRPr="00C06F95" w:rsidRDefault="00EA75F8" w:rsidP="00790C1D">
      <w:pPr>
        <w:pStyle w:val="Default"/>
        <w:numPr>
          <w:ilvl w:val="0"/>
          <w:numId w:val="8"/>
        </w:numPr>
        <w:spacing w:before="40" w:after="40"/>
        <w:ind w:left="0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="00D5470C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озместить расходы на создание (строительство), реконструкцию и</w:t>
      </w:r>
      <w:r w:rsidR="00B3486E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="00D5470C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(или)</w:t>
      </w:r>
      <w:r w:rsidR="00B3486E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="00D5470C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модернизацию инфраструктуры</w:t>
      </w:r>
      <w:r w:rsidR="00D5470C" w:rsidRPr="00C06F95">
        <w:rPr>
          <w:rFonts w:ascii="Times New Roman" w:hAnsi="Times New Roman" w:cs="Times New Roman"/>
          <w:b/>
          <w:color w:val="auto"/>
          <w:sz w:val="28"/>
          <w:szCs w:val="28"/>
        </w:rPr>
        <w:t>, необходимой для реализации проекта</w:t>
      </w:r>
      <w:r w:rsidR="00790C1D" w:rsidRPr="00C06F9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790C1D" w:rsidRPr="00C06F95" w:rsidRDefault="00790C1D" w:rsidP="00790C1D">
      <w:pPr>
        <w:pStyle w:val="Default"/>
        <w:spacing w:before="40" w:after="4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а) возможность возмещения части затрат на проект (затраты на объекты транспортной, энергетической, коммунальной, социальной и цифровой инфраструктуры, уплату процентов по кредитам, привлеченным для финансирования проекта на инвестиционной фазе, а также затраты на демонтаж жилых объектов военных городков) в объеме налоговых поступлений от проектов. </w:t>
      </w:r>
    </w:p>
    <w:p w:rsidR="00790C1D" w:rsidRPr="00C06F95" w:rsidRDefault="00790C1D" w:rsidP="00790C1D">
      <w:pPr>
        <w:pStyle w:val="Default"/>
        <w:spacing w:before="40" w:after="4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б) возможность использования механизма налогового вычета по прямым налогам (налог на прибыль организаций, налог на имущество организаций, земельный налог) в качестве альтернативы механизму предоставления субсидий в целях возмещения понесенных в рамках проекта затрат.</w:t>
      </w:r>
    </w:p>
    <w:p w:rsidR="00D5470C" w:rsidRPr="00C06F95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СЗПК заключается в 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заявительном порядке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без конкурсных или иных отборочных процедур. Государство обязано заключить СЗПК с каждым обратившимся, при соблюдении требований ФЗ и процедуры обращения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470C" w:rsidRPr="00C06F95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СЗПК </w:t>
      </w:r>
      <w:r w:rsidR="003076EC"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заключается 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электронном виде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на цифровой платформе 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ГИС «Капиталовложения»</w:t>
      </w:r>
      <w:r w:rsidR="00125C40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D5470C" w:rsidRPr="00C06F95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Со стороны государства – СЗПК заключается с РФ / субъектом (-</w:t>
      </w:r>
      <w:proofErr w:type="spellStart"/>
      <w:r w:rsidRPr="00C06F95">
        <w:rPr>
          <w:rFonts w:ascii="Times New Roman" w:hAnsi="Times New Roman" w:cs="Times New Roman"/>
          <w:color w:val="auto"/>
          <w:sz w:val="28"/>
          <w:szCs w:val="28"/>
        </w:rPr>
        <w:t>ами</w:t>
      </w:r>
      <w:proofErr w:type="spellEnd"/>
      <w:r w:rsidRPr="00C06F95">
        <w:rPr>
          <w:rFonts w:ascii="Times New Roman" w:hAnsi="Times New Roman" w:cs="Times New Roman"/>
          <w:color w:val="auto"/>
          <w:sz w:val="28"/>
          <w:szCs w:val="28"/>
        </w:rPr>
        <w:t>) РФ, где</w:t>
      </w:r>
      <w:r w:rsidR="00B3486E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реализуется проект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/ муниципальными образованиям.</w:t>
      </w:r>
    </w:p>
    <w:p w:rsidR="00D5470C" w:rsidRPr="00C06F95" w:rsidRDefault="00D5470C" w:rsidP="00D5470C">
      <w:pPr>
        <w:pStyle w:val="Default"/>
        <w:numPr>
          <w:ilvl w:val="0"/>
          <w:numId w:val="6"/>
        </w:numPr>
        <w:spacing w:before="160" w:after="160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Со стороны бизнеса – СЗПК заключается непосредственно с ОРП. СЗПК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может быть расторгнуто в любой момент, если ОРП примет решение отказаться или приостановить реализацию проекта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470C" w:rsidRPr="00C06F95" w:rsidRDefault="00D5470C" w:rsidP="00790C1D">
      <w:pPr>
        <w:pStyle w:val="Default"/>
        <w:spacing w:before="160" w:after="1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Профиль </w:t>
      </w:r>
      <w:r w:rsidR="00B3486E"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организации, реализующей проект</w:t>
      </w:r>
    </w:p>
    <w:p w:rsidR="00D5470C" w:rsidRPr="00C06F95" w:rsidRDefault="00D5470C" w:rsidP="00D5470C">
      <w:pPr>
        <w:pStyle w:val="Default"/>
        <w:spacing w:before="160" w:after="124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Российское юридическое лицо кроме государственных и муниципальных учреждений, ГУ и МУП. При этом выступать инвестором может иностранный инвестор.</w:t>
      </w:r>
    </w:p>
    <w:p w:rsidR="00D5470C" w:rsidRPr="00C06F95" w:rsidRDefault="00D5470C" w:rsidP="00D5470C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Проектная компания – ОРП, специально созданная для реализации инвестиционного проекта:</w:t>
      </w:r>
    </w:p>
    <w:p w:rsidR="00D5470C" w:rsidRPr="00C06F95" w:rsidRDefault="00D5470C" w:rsidP="00125C40">
      <w:pPr>
        <w:pStyle w:val="Default"/>
        <w:ind w:left="426" w:firstLine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- более 90% ежегодной выручки должно быть от реализации инвестиционного проекта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5470C" w:rsidRPr="00C06F95" w:rsidRDefault="00D5470C" w:rsidP="00125C40">
      <w:pPr>
        <w:pStyle w:val="Default"/>
        <w:ind w:left="426" w:firstLine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- в уставе должно содержаться положение о том, что предметом её</w:t>
      </w:r>
      <w:r w:rsidR="00B3486E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деятельности является реализация инвестиционного проекта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470C" w:rsidRPr="00C06F95" w:rsidRDefault="00D5470C" w:rsidP="00D5470C">
      <w:pPr>
        <w:pStyle w:val="Default"/>
        <w:spacing w:before="100"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  <w:u w:val="single"/>
        </w:rPr>
        <w:t>Примечание:</w:t>
      </w:r>
    </w:p>
    <w:p w:rsidR="00D5470C" w:rsidRPr="00C06F95" w:rsidRDefault="00D5470C" w:rsidP="00D5470C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Если ОРП планирует претендовать на возмещение инфраструктуры, то такая ОРП не может принадлежать более чем на 50% иностранным компаниям, местом регистрации которых является офшорная зона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470C" w:rsidRPr="00C06F95" w:rsidRDefault="00D5470C" w:rsidP="00D5470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5470C" w:rsidRPr="00C06F95" w:rsidRDefault="00D5470C" w:rsidP="00B3486E">
      <w:pPr>
        <w:pStyle w:val="Default"/>
        <w:spacing w:after="1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Исключения по сферам деятельности для СЗПК</w:t>
      </w:r>
    </w:p>
    <w:p w:rsidR="00D5470C" w:rsidRPr="00C06F95" w:rsidRDefault="00D5470C" w:rsidP="00D5470C">
      <w:pPr>
        <w:pStyle w:val="Default"/>
        <w:numPr>
          <w:ilvl w:val="0"/>
          <w:numId w:val="1"/>
        </w:numPr>
        <w:spacing w:before="40" w:after="40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Игорный бизнес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5470C" w:rsidRPr="00C06F95" w:rsidRDefault="00D5470C" w:rsidP="00D5470C">
      <w:pPr>
        <w:pStyle w:val="Default"/>
        <w:numPr>
          <w:ilvl w:val="0"/>
          <w:numId w:val="1"/>
        </w:numPr>
        <w:spacing w:before="40" w:after="40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Производство табачных изделий, алкогольной продукции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5470C" w:rsidRPr="00C06F95" w:rsidRDefault="00D5470C" w:rsidP="00B3486E">
      <w:pPr>
        <w:pStyle w:val="Default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Производство жидкого топлива (за исключением полученного из угля, а также на установках вторичной переработки нефтяного сырья согласно перечню, утверждаемому Правительством РФ)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5470C" w:rsidRPr="00C06F95" w:rsidRDefault="00D5470C" w:rsidP="00B3486E">
      <w:pPr>
        <w:pStyle w:val="Default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Добыча сырой нефти и природного газа, в том числе попутного нефтяного газа (за исключением проектов по сжижению природного газа)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5470C" w:rsidRPr="00C06F95" w:rsidRDefault="00D5470C" w:rsidP="00B3486E">
      <w:pPr>
        <w:pStyle w:val="Default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Оптовая и розничная торговля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5470C" w:rsidRPr="00C06F95" w:rsidRDefault="00D5470C" w:rsidP="00B3486E">
      <w:pPr>
        <w:pStyle w:val="Default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Деятельность финансовых организаций, поднадзорных ЦБ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25C40" w:rsidRPr="00C06F95" w:rsidRDefault="00D5470C" w:rsidP="00D5470C">
      <w:pPr>
        <w:pStyle w:val="Default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Создание (строительство) либо реконструкция и (или) модернизация административно-деловых и торговых центров (комплексов) кроме аэровокзалов (терминалов), а также многоквартирных и жилых домов кроме строительства таких домов в соответствии с договором о комплексном развитии территории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470C" w:rsidRPr="00C06F95" w:rsidRDefault="00D5470C" w:rsidP="00125C40">
      <w:pPr>
        <w:pStyle w:val="Default"/>
        <w:spacing w:before="40" w:after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568D" w:rsidRPr="00C06F95" w:rsidRDefault="00D2568D" w:rsidP="00B3486E">
      <w:pPr>
        <w:pStyle w:val="Default"/>
        <w:spacing w:before="240" w:after="1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Минимальный вклад собственных средств</w:t>
      </w:r>
    </w:p>
    <w:p w:rsidR="00D2568D" w:rsidRPr="00C06F95" w:rsidRDefault="00D2568D" w:rsidP="00D2568D">
      <w:pPr>
        <w:pStyle w:val="Default"/>
        <w:numPr>
          <w:ilvl w:val="0"/>
          <w:numId w:val="3"/>
        </w:numPr>
        <w:spacing w:after="121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200 млн руб.,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где стороной соглашения является только субъект РФ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568D" w:rsidRPr="00C06F95" w:rsidRDefault="00D2568D" w:rsidP="00D2568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0F28C9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50 млн руб.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, где стороной соглашения является РФ и субъект РФ</w:t>
      </w:r>
      <w:r w:rsidR="005D0B5C" w:rsidRPr="00C06F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2568D" w:rsidRPr="00C06F95" w:rsidRDefault="000F28C9" w:rsidP="00B3486E">
      <w:pPr>
        <w:pStyle w:val="Default"/>
        <w:numPr>
          <w:ilvl w:val="0"/>
          <w:numId w:val="5"/>
        </w:numPr>
        <w:spacing w:after="111"/>
        <w:ind w:left="709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D2568D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50 млн руб. </w:t>
      </w:r>
      <w:r w:rsidR="00D2568D" w:rsidRPr="00C06F95">
        <w:rPr>
          <w:rFonts w:ascii="Times New Roman" w:hAnsi="Times New Roman" w:cs="Times New Roman"/>
          <w:color w:val="auto"/>
          <w:sz w:val="28"/>
          <w:szCs w:val="28"/>
        </w:rPr>
        <w:t>– проекты в сфере здравоохранения, образования, культуры, физкультуры и спорта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3610E" w:rsidRPr="00C06F95">
        <w:rPr>
          <w:rFonts w:ascii="Times New Roman" w:hAnsi="Times New Roman" w:cs="Times New Roman"/>
          <w:color w:val="auto"/>
          <w:sz w:val="28"/>
          <w:szCs w:val="28"/>
        </w:rPr>
        <w:t>а также проекты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многоквартирных домов и жилых домов в соответствии с договором о</w:t>
      </w:r>
      <w:r w:rsidR="00B3486E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комплексном развитии территории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2568D" w:rsidRPr="00C06F95" w:rsidRDefault="000F28C9" w:rsidP="00B3486E">
      <w:pPr>
        <w:pStyle w:val="Default"/>
        <w:numPr>
          <w:ilvl w:val="0"/>
          <w:numId w:val="5"/>
        </w:numPr>
        <w:spacing w:after="111"/>
        <w:ind w:left="709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1,5</w:t>
      </w:r>
      <w:r w:rsidR="00D2568D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мл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рд</w:t>
      </w:r>
      <w:r w:rsidR="00D2568D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руб. </w:t>
      </w:r>
      <w:r w:rsidR="00D2568D" w:rsidRPr="00C06F95">
        <w:rPr>
          <w:rFonts w:ascii="Times New Roman" w:hAnsi="Times New Roman" w:cs="Times New Roman"/>
          <w:color w:val="auto"/>
          <w:sz w:val="28"/>
          <w:szCs w:val="28"/>
        </w:rPr>
        <w:t>– проекты в сфере цифровой экономики, экологии, сельского хозяйства</w:t>
      </w:r>
      <w:r w:rsidR="00512C4F" w:rsidRPr="00C06F95">
        <w:rPr>
          <w:rFonts w:ascii="Times New Roman" w:hAnsi="Times New Roman" w:cs="Times New Roman"/>
          <w:color w:val="auto"/>
          <w:sz w:val="28"/>
          <w:szCs w:val="28"/>
        </w:rPr>
        <w:t>, пищевой и перерабатывающей промышленности, туризма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2568D" w:rsidRPr="00C06F95" w:rsidRDefault="00512C4F" w:rsidP="00B3486E">
      <w:pPr>
        <w:pStyle w:val="Default"/>
        <w:numPr>
          <w:ilvl w:val="0"/>
          <w:numId w:val="5"/>
        </w:numPr>
        <w:spacing w:after="111"/>
        <w:ind w:left="709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D2568D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,5 млрд руб. </w:t>
      </w:r>
      <w:r w:rsidR="00D2568D" w:rsidRPr="00C06F95">
        <w:rPr>
          <w:rFonts w:ascii="Times New Roman" w:hAnsi="Times New Roman" w:cs="Times New Roman"/>
          <w:color w:val="auto"/>
          <w:sz w:val="28"/>
          <w:szCs w:val="28"/>
        </w:rPr>
        <w:t>– проекты в сфере обрабатывающего производства</w:t>
      </w:r>
      <w:r w:rsidR="00576859" w:rsidRPr="00C06F95">
        <w:rPr>
          <w:rFonts w:ascii="Times New Roman" w:hAnsi="Times New Roman" w:cs="Times New Roman"/>
          <w:color w:val="auto"/>
          <w:sz w:val="28"/>
          <w:szCs w:val="28"/>
        </w:rPr>
        <w:t>, аэровокзалов (терминалов), общественного транспорта городского и</w:t>
      </w:r>
      <w:r w:rsidR="00B3486E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76859" w:rsidRPr="00C06F95">
        <w:rPr>
          <w:rFonts w:ascii="Times New Roman" w:hAnsi="Times New Roman" w:cs="Times New Roman"/>
          <w:color w:val="auto"/>
          <w:sz w:val="28"/>
          <w:szCs w:val="28"/>
        </w:rPr>
        <w:t>пригородного сообщения, транспортно-логистических центров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2568D" w:rsidRPr="00C06F95" w:rsidRDefault="00576859" w:rsidP="00B3486E">
      <w:pPr>
        <w:pStyle w:val="Default"/>
        <w:numPr>
          <w:ilvl w:val="0"/>
          <w:numId w:val="5"/>
        </w:numPr>
        <w:ind w:left="709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="00512C4F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2568D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млрд руб. </w:t>
      </w:r>
      <w:r w:rsidR="00D2568D"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– проекты в иных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>сферах экономики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207F" w:rsidRPr="00C06F95" w:rsidRDefault="0084207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6F95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D2568D" w:rsidRPr="00C06F95" w:rsidRDefault="00D2568D" w:rsidP="00B3486E">
      <w:pPr>
        <w:pStyle w:val="Default"/>
        <w:spacing w:before="240" w:after="1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СЗПК стабилизирует широкий круг </w:t>
      </w:r>
      <w:r w:rsidR="00042322"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нормативных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актов</w:t>
      </w:r>
      <w:r w:rsidR="00042322"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(решений</w:t>
      </w:r>
      <w:proofErr w:type="gramStart"/>
      <w:r w:rsidR="00042322"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)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,</w:t>
      </w:r>
      <w:r w:rsidR="00B3486E"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br/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защищая</w:t>
      </w:r>
      <w:proofErr w:type="gramEnd"/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интересы бизнеса (стабилизационная оговорка)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C06F95" w:rsidRPr="00C06F95" w:rsidTr="00B3486E">
        <w:trPr>
          <w:trHeight w:val="724"/>
        </w:trPr>
        <w:tc>
          <w:tcPr>
            <w:tcW w:w="3351" w:type="dxa"/>
            <w:shd w:val="clear" w:color="auto" w:fill="1F3864" w:themeFill="accent5" w:themeFillShade="80"/>
          </w:tcPr>
          <w:p w:rsidR="00D2568D" w:rsidRPr="00C06F95" w:rsidRDefault="00D2568D" w:rsidP="00D256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Отдельные законодательные акты</w:t>
            </w:r>
          </w:p>
        </w:tc>
        <w:tc>
          <w:tcPr>
            <w:tcW w:w="3351" w:type="dxa"/>
            <w:shd w:val="clear" w:color="auto" w:fill="1F3864" w:themeFill="accent5" w:themeFillShade="80"/>
          </w:tcPr>
          <w:p w:rsidR="00D2568D" w:rsidRPr="00C06F95" w:rsidRDefault="00D2568D" w:rsidP="00D256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Акты налогового законодательства</w:t>
            </w:r>
          </w:p>
        </w:tc>
        <w:tc>
          <w:tcPr>
            <w:tcW w:w="3351" w:type="dxa"/>
            <w:shd w:val="clear" w:color="auto" w:fill="1F3864" w:themeFill="accent5" w:themeFillShade="80"/>
          </w:tcPr>
          <w:p w:rsidR="00D2568D" w:rsidRPr="00C06F95" w:rsidRDefault="00D2568D" w:rsidP="00B348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Меры государственной поддержки</w:t>
            </w:r>
          </w:p>
        </w:tc>
      </w:tr>
      <w:tr w:rsidR="00C06F95" w:rsidRPr="00C06F95" w:rsidTr="00A972EF">
        <w:tc>
          <w:tcPr>
            <w:tcW w:w="3351" w:type="dxa"/>
            <w:vAlign w:val="center"/>
          </w:tcPr>
          <w:p w:rsidR="00D2568D" w:rsidRPr="00C06F95" w:rsidRDefault="00D2568D" w:rsidP="00125C40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Акты, регулирующие ставки вывозных таможенных пошлин</w:t>
            </w:r>
            <w:r w:rsidR="00F12EA1" w:rsidRPr="00C06F95">
              <w:rPr>
                <w:rFonts w:ascii="Times New Roman" w:hAnsi="Times New Roman" w:cs="Times New Roman"/>
                <w:color w:val="auto"/>
                <w:szCs w:val="28"/>
              </w:rPr>
              <w:t xml:space="preserve"> и предусматривающие их увеличение относительно действовавших по состоянию на 1 января 2022 </w:t>
            </w:r>
            <w:proofErr w:type="gramStart"/>
            <w:r w:rsidR="00F12EA1" w:rsidRPr="00C06F95">
              <w:rPr>
                <w:rFonts w:ascii="Times New Roman" w:hAnsi="Times New Roman" w:cs="Times New Roman"/>
                <w:color w:val="auto"/>
                <w:szCs w:val="28"/>
              </w:rPr>
              <w:t>г.</w:t>
            </w:r>
            <w:r w:rsidR="00B3486E" w:rsidRPr="00C06F95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(</w:t>
            </w:r>
            <w:proofErr w:type="gramEnd"/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на срок действия СЗПК)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Налог на имущество организаций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spacing w:after="113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Договоры о предоставлении субсидий, бюджетных инвестиций</w:t>
            </w:r>
          </w:p>
        </w:tc>
      </w:tr>
      <w:tr w:rsidR="00C06F95" w:rsidRPr="00C06F95" w:rsidTr="00A972EF">
        <w:tc>
          <w:tcPr>
            <w:tcW w:w="3351" w:type="dxa"/>
            <w:vAlign w:val="center"/>
          </w:tcPr>
          <w:p w:rsidR="00D2568D" w:rsidRPr="00C06F95" w:rsidRDefault="00D2568D" w:rsidP="00CA00F5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 xml:space="preserve">Акты земельного </w:t>
            </w:r>
            <w:proofErr w:type="gramStart"/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законодательства</w:t>
            </w:r>
            <w:r w:rsidR="00B3486E" w:rsidRPr="00C06F95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(</w:t>
            </w:r>
            <w:proofErr w:type="gramEnd"/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3 года)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Транспортный налог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spacing w:after="113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Кредитные договор</w:t>
            </w:r>
            <w:r w:rsidR="00A01AD6" w:rsidRPr="00C06F95">
              <w:rPr>
                <w:rFonts w:ascii="Times New Roman" w:hAnsi="Times New Roman" w:cs="Times New Roman"/>
                <w:color w:val="auto"/>
                <w:szCs w:val="28"/>
              </w:rPr>
              <w:t>ы</w:t>
            </w: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 xml:space="preserve"> по</w:t>
            </w:r>
            <w:r w:rsidR="00B3486E" w:rsidRPr="00C06F95">
              <w:rPr>
                <w:rFonts w:ascii="Times New Roman" w:hAnsi="Times New Roman" w:cs="Times New Roman"/>
                <w:color w:val="auto"/>
                <w:szCs w:val="28"/>
              </w:rPr>
              <w:t> </w:t>
            </w: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льготной ставке за счет средств бюджет</w:t>
            </w:r>
            <w:r w:rsidR="00A01AD6" w:rsidRPr="00C06F95">
              <w:rPr>
                <w:rFonts w:ascii="Times New Roman" w:hAnsi="Times New Roman" w:cs="Times New Roman"/>
                <w:color w:val="auto"/>
                <w:szCs w:val="28"/>
              </w:rPr>
              <w:t>ов бюджетной системы РФ</w:t>
            </w:r>
          </w:p>
        </w:tc>
      </w:tr>
      <w:tr w:rsidR="00C06F95" w:rsidRPr="00C06F95" w:rsidTr="00A972EF">
        <w:tc>
          <w:tcPr>
            <w:tcW w:w="3351" w:type="dxa"/>
            <w:vAlign w:val="center"/>
          </w:tcPr>
          <w:p w:rsidR="00D2568D" w:rsidRPr="00C06F95" w:rsidRDefault="00D2568D" w:rsidP="00CA00F5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 xml:space="preserve">Акты градостроительного </w:t>
            </w:r>
            <w:proofErr w:type="gramStart"/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законодательства</w:t>
            </w:r>
            <w:r w:rsidR="00B3486E" w:rsidRPr="00C06F95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(</w:t>
            </w:r>
            <w:proofErr w:type="gramEnd"/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3 года)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Земельный налог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Договоры между регулируемой организацией (субъект естественной монополии) и ОРП</w:t>
            </w:r>
          </w:p>
        </w:tc>
      </w:tr>
      <w:tr w:rsidR="00C06F95" w:rsidRPr="00C06F95" w:rsidTr="00A972EF">
        <w:tc>
          <w:tcPr>
            <w:tcW w:w="3351" w:type="dxa"/>
            <w:vAlign w:val="center"/>
          </w:tcPr>
          <w:p w:rsidR="00D2568D" w:rsidRPr="00C06F95" w:rsidRDefault="00D2568D" w:rsidP="00CA00F5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 xml:space="preserve">Акты в области эксплуатации объектов недвижимого </w:t>
            </w:r>
            <w:proofErr w:type="gramStart"/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имущества</w:t>
            </w:r>
            <w:r w:rsidR="00B3486E" w:rsidRPr="00C06F95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(</w:t>
            </w:r>
            <w:proofErr w:type="gramEnd"/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3 года)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Налог на прибыль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C06F95" w:rsidRPr="00C06F95" w:rsidTr="00A972EF">
        <w:tc>
          <w:tcPr>
            <w:tcW w:w="3351" w:type="dxa"/>
            <w:vAlign w:val="center"/>
          </w:tcPr>
          <w:p w:rsidR="00D2568D" w:rsidRPr="00C06F95" w:rsidRDefault="00D2568D" w:rsidP="00CA00F5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 xml:space="preserve">Акты, регулирующие размер платы за негативное воздействие на окружающую среду, платы за пользование водными объектами, экологического </w:t>
            </w:r>
            <w:proofErr w:type="gramStart"/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сбора</w:t>
            </w:r>
            <w:r w:rsidR="00B3486E" w:rsidRPr="00C06F95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(</w:t>
            </w:r>
            <w:proofErr w:type="gramEnd"/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3 года)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Налог на добавленную стоимость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C06F95" w:rsidRPr="00C06F95" w:rsidTr="00A972EF">
        <w:tc>
          <w:tcPr>
            <w:tcW w:w="3351" w:type="dxa"/>
            <w:vAlign w:val="center"/>
          </w:tcPr>
          <w:p w:rsidR="00D2568D" w:rsidRPr="00C06F95" w:rsidRDefault="00D2568D" w:rsidP="00CA00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 xml:space="preserve">Акты, регулирующие размер платы за изъятие лесных ресурсов, арендной платы за пользование лесными участками с изъятием </w:t>
            </w:r>
            <w:proofErr w:type="gramStart"/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ресурсов</w:t>
            </w:r>
            <w:r w:rsidR="00B3486E" w:rsidRPr="00C06F95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(</w:t>
            </w:r>
            <w:proofErr w:type="gramEnd"/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3 года)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color w:val="auto"/>
                <w:szCs w:val="28"/>
              </w:rPr>
              <w:t>Новые налоги и сборы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spacing w:after="124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D2568D" w:rsidRPr="00C06F95" w:rsidTr="00171BE3">
        <w:tc>
          <w:tcPr>
            <w:tcW w:w="3351" w:type="dxa"/>
            <w:vAlign w:val="center"/>
          </w:tcPr>
          <w:p w:rsidR="00D2568D" w:rsidRPr="00C06F95" w:rsidRDefault="00D2568D" w:rsidP="0069739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Срок стабилизации </w:t>
            </w:r>
            <w:r w:rsidR="0069739E"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составляет 3 года с даты вступления </w:t>
            </w:r>
            <w:r w:rsidR="00F12EA1"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акта </w:t>
            </w:r>
            <w:r w:rsidR="0069739E"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в силу</w:t>
            </w:r>
          </w:p>
        </w:tc>
        <w:tc>
          <w:tcPr>
            <w:tcW w:w="3351" w:type="dxa"/>
            <w:vAlign w:val="center"/>
          </w:tcPr>
          <w:p w:rsidR="00D2568D" w:rsidRPr="00C06F95" w:rsidRDefault="00D2568D" w:rsidP="00B348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Срок стабилизации = срок</w:t>
            </w:r>
            <w:r w:rsidR="00B3486E"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 </w:t>
            </w: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действия СЗПК</w:t>
            </w:r>
          </w:p>
        </w:tc>
        <w:tc>
          <w:tcPr>
            <w:tcW w:w="3351" w:type="dxa"/>
            <w:vAlign w:val="center"/>
          </w:tcPr>
          <w:p w:rsidR="000821D6" w:rsidRPr="00C06F95" w:rsidRDefault="00D2568D" w:rsidP="00B348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Срок стабилизации = срок</w:t>
            </w:r>
            <w:r w:rsidR="00B3486E"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 </w:t>
            </w:r>
            <w:r w:rsidRPr="00C06F9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действия мер государственной поддержки</w:t>
            </w:r>
          </w:p>
        </w:tc>
      </w:tr>
    </w:tbl>
    <w:p w:rsidR="0083562B" w:rsidRPr="00C06F95" w:rsidRDefault="0083562B" w:rsidP="00D2568D">
      <w:pPr>
        <w:pStyle w:val="Default"/>
        <w:spacing w:after="10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2568D" w:rsidRPr="00C06F95" w:rsidRDefault="00D2568D" w:rsidP="00125C40">
      <w:pPr>
        <w:pStyle w:val="Default"/>
        <w:spacing w:after="10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Cs/>
          <w:color w:val="auto"/>
          <w:sz w:val="28"/>
          <w:szCs w:val="28"/>
        </w:rPr>
        <w:t>Сроки стабилизации в</w:t>
      </w:r>
      <w:r w:rsidR="00042322" w:rsidRPr="00C06F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зависимости от</w:t>
      </w:r>
      <w:r w:rsidRPr="00C06F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размер</w:t>
      </w:r>
      <w:r w:rsidR="00042322" w:rsidRPr="00C06F9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B3486E" w:rsidRPr="00C06F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капиталовложений: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C06F95" w:rsidRPr="00C06F95" w:rsidTr="00495971">
        <w:tc>
          <w:tcPr>
            <w:tcW w:w="5026" w:type="dxa"/>
          </w:tcPr>
          <w:p w:rsidR="00D2568D" w:rsidRPr="00C06F95" w:rsidRDefault="00D2568D" w:rsidP="00495971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/>
                <w:bCs/>
                <w:color w:val="auto"/>
              </w:rPr>
              <w:t>Размер капиталовложений</w:t>
            </w:r>
            <w:r w:rsidR="00CA00F5" w:rsidRPr="00C06F95">
              <w:rPr>
                <w:rFonts w:ascii="Times New Roman" w:hAnsi="Times New Roman" w:cs="Times New Roman"/>
                <w:b/>
                <w:bCs/>
                <w:color w:val="auto"/>
              </w:rPr>
              <w:t>, млрд руб.</w:t>
            </w:r>
          </w:p>
        </w:tc>
        <w:tc>
          <w:tcPr>
            <w:tcW w:w="5027" w:type="dxa"/>
          </w:tcPr>
          <w:p w:rsidR="00D2568D" w:rsidRPr="00C06F95" w:rsidRDefault="00D2568D" w:rsidP="00495971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/>
                <w:bCs/>
                <w:color w:val="auto"/>
              </w:rPr>
              <w:t>Срок стабилизации</w:t>
            </w:r>
            <w:r w:rsidR="00CA00F5" w:rsidRPr="00C06F95">
              <w:rPr>
                <w:rFonts w:ascii="Times New Roman" w:hAnsi="Times New Roman" w:cs="Times New Roman"/>
                <w:b/>
                <w:bCs/>
                <w:color w:val="auto"/>
              </w:rPr>
              <w:t>, лет</w:t>
            </w:r>
          </w:p>
        </w:tc>
      </w:tr>
      <w:tr w:rsidR="00C06F95" w:rsidRPr="00C06F95" w:rsidTr="00495971">
        <w:tc>
          <w:tcPr>
            <w:tcW w:w="5026" w:type="dxa"/>
          </w:tcPr>
          <w:p w:rsidR="00D2568D" w:rsidRPr="00C06F95" w:rsidRDefault="000821D6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Cs/>
                <w:color w:val="auto"/>
              </w:rPr>
              <w:t>До</w:t>
            </w:r>
            <w:r w:rsidR="00D2568D" w:rsidRPr="00C06F9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06F95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5027" w:type="dxa"/>
          </w:tcPr>
          <w:p w:rsidR="00D2568D" w:rsidRPr="00C06F9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C06F95" w:rsidRPr="00C06F95" w:rsidTr="00495971">
        <w:tc>
          <w:tcPr>
            <w:tcW w:w="5026" w:type="dxa"/>
          </w:tcPr>
          <w:p w:rsidR="00D2568D" w:rsidRPr="00C06F95" w:rsidRDefault="00E94F75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Cs/>
                <w:color w:val="auto"/>
              </w:rPr>
              <w:t xml:space="preserve">От </w:t>
            </w:r>
            <w:r w:rsidR="000821D6" w:rsidRPr="00C06F95">
              <w:rPr>
                <w:rFonts w:ascii="Times New Roman" w:hAnsi="Times New Roman" w:cs="Times New Roman"/>
                <w:bCs/>
                <w:color w:val="auto"/>
              </w:rPr>
              <w:t>10</w:t>
            </w:r>
            <w:r w:rsidRPr="00C06F95">
              <w:rPr>
                <w:rFonts w:ascii="Times New Roman" w:hAnsi="Times New Roman" w:cs="Times New Roman"/>
                <w:bCs/>
                <w:color w:val="auto"/>
              </w:rPr>
              <w:t xml:space="preserve"> до</w:t>
            </w:r>
            <w:r w:rsidR="00D2568D" w:rsidRPr="00C06F95">
              <w:rPr>
                <w:rFonts w:ascii="Times New Roman" w:hAnsi="Times New Roman" w:cs="Times New Roman"/>
                <w:bCs/>
                <w:color w:val="auto"/>
              </w:rPr>
              <w:t xml:space="preserve"> 1</w:t>
            </w:r>
            <w:r w:rsidR="000821D6" w:rsidRPr="00C06F95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5027" w:type="dxa"/>
          </w:tcPr>
          <w:p w:rsidR="00D2568D" w:rsidRPr="00C06F9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Cs/>
                <w:color w:val="auto"/>
              </w:rPr>
              <w:t>15</w:t>
            </w:r>
          </w:p>
        </w:tc>
      </w:tr>
      <w:tr w:rsidR="00D2568D" w:rsidRPr="00C06F95" w:rsidTr="00495971">
        <w:tc>
          <w:tcPr>
            <w:tcW w:w="5026" w:type="dxa"/>
          </w:tcPr>
          <w:p w:rsidR="00D2568D" w:rsidRPr="00C06F95" w:rsidRDefault="000821D6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D2568D" w:rsidRPr="00C06F95">
              <w:rPr>
                <w:rFonts w:ascii="Times New Roman" w:hAnsi="Times New Roman" w:cs="Times New Roman"/>
                <w:bCs/>
                <w:color w:val="auto"/>
              </w:rPr>
              <w:t>0</w:t>
            </w:r>
            <w:r w:rsidR="00E94F75" w:rsidRPr="00C06F95">
              <w:rPr>
                <w:rFonts w:ascii="Times New Roman" w:hAnsi="Times New Roman" w:cs="Times New Roman"/>
                <w:bCs/>
                <w:color w:val="auto"/>
              </w:rPr>
              <w:t xml:space="preserve"> и более</w:t>
            </w:r>
          </w:p>
        </w:tc>
        <w:tc>
          <w:tcPr>
            <w:tcW w:w="5027" w:type="dxa"/>
          </w:tcPr>
          <w:p w:rsidR="00D2568D" w:rsidRPr="00C06F9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</w:tr>
    </w:tbl>
    <w:p w:rsidR="0084207F" w:rsidRPr="00C06F95" w:rsidRDefault="0084207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C06F95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D2568D" w:rsidRPr="00C06F95" w:rsidRDefault="00D2568D" w:rsidP="00B3486E">
      <w:pPr>
        <w:pStyle w:val="Default"/>
        <w:spacing w:before="240" w:after="1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Возмещение расходов на инфраструктуру (ПП</w:t>
      </w:r>
      <w:r w:rsidR="00B3486E"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РФ 1599)</w:t>
      </w:r>
    </w:p>
    <w:p w:rsidR="00D2568D" w:rsidRPr="00C06F95" w:rsidRDefault="00D2568D" w:rsidP="005D0B5C">
      <w:pPr>
        <w:pStyle w:val="Default"/>
        <w:spacing w:before="100" w:after="100"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1. Под инфраструктурой подразумеваются объекты 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транспортной, энергетической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коммунальной, социальной, цифровой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инфраструктуры, </w:t>
      </w:r>
      <w:r w:rsidR="001A5A51" w:rsidRPr="00C06F95">
        <w:rPr>
          <w:rFonts w:ascii="Times New Roman" w:hAnsi="Times New Roman" w:cs="Times New Roman"/>
          <w:color w:val="auto"/>
          <w:sz w:val="28"/>
          <w:szCs w:val="28"/>
        </w:rPr>
        <w:t>предназначенные для реализации проекта, ввода в эксплуатацию и последующей эксплуатации объекта нового инвестиционного проекта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568D" w:rsidRPr="00C06F95" w:rsidRDefault="00D2568D" w:rsidP="00B3486E">
      <w:pPr>
        <w:pStyle w:val="Default"/>
        <w:spacing w:before="100" w:after="40"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2. Возмещение можно получить на:</w:t>
      </w:r>
    </w:p>
    <w:p w:rsidR="00D2568D" w:rsidRPr="00C06F95" w:rsidRDefault="00D2568D" w:rsidP="00B3486E">
      <w:pPr>
        <w:autoSpaceDE w:val="0"/>
        <w:autoSpaceDN w:val="0"/>
        <w:adjustRightInd w:val="0"/>
        <w:spacing w:before="40" w:after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>2.1. создание (строительство), модернизацию и (или) реконструкцию объектов инфраструктуры</w:t>
      </w:r>
      <w:r w:rsidR="00125C40" w:rsidRPr="00C06F95">
        <w:rPr>
          <w:rFonts w:ascii="Times New Roman" w:hAnsi="Times New Roman" w:cs="Times New Roman"/>
          <w:sz w:val="28"/>
          <w:szCs w:val="28"/>
        </w:rPr>
        <w:t>;</w:t>
      </w:r>
    </w:p>
    <w:p w:rsidR="00D2568D" w:rsidRPr="00C06F95" w:rsidRDefault="00D2568D" w:rsidP="00B3486E">
      <w:pPr>
        <w:pStyle w:val="Default"/>
        <w:spacing w:before="40" w:after="40"/>
        <w:ind w:firstLine="425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2.2. уплату процентов по кредитам и займам, купонного дохода по</w:t>
      </w:r>
      <w:r w:rsidR="00B3486E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облигационным займам, привлеченным 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создания или реконструкции объектов инфраструктуры</w:t>
      </w:r>
      <w:r w:rsidR="00125C40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1A5A51" w:rsidRPr="00C06F95" w:rsidRDefault="001A5A51" w:rsidP="00B3486E">
      <w:pPr>
        <w:pStyle w:val="Default"/>
        <w:spacing w:before="40" w:after="40"/>
        <w:ind w:firstLine="42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Cs/>
          <w:color w:val="auto"/>
          <w:sz w:val="28"/>
          <w:szCs w:val="28"/>
        </w:rPr>
        <w:t>2.3. уплату процентов по кредитам и займам, купонного дохода по</w:t>
      </w:r>
      <w:r w:rsidR="00B3486E" w:rsidRPr="00C06F95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bCs/>
          <w:color w:val="auto"/>
          <w:sz w:val="28"/>
          <w:szCs w:val="28"/>
        </w:rPr>
        <w:t>облигационным займам, привлеченным на создание новых либо реконструкцию и (или) модернизацию существующих объектов недвижимого имущества</w:t>
      </w:r>
      <w:r w:rsidR="00A1455F" w:rsidRPr="00C06F95">
        <w:rPr>
          <w:rFonts w:ascii="Times New Roman" w:hAnsi="Times New Roman" w:cs="Times New Roman"/>
          <w:bCs/>
          <w:color w:val="auto"/>
          <w:sz w:val="28"/>
          <w:szCs w:val="28"/>
        </w:rPr>
        <w:t>, при</w:t>
      </w:r>
      <w:r w:rsidR="00B3486E" w:rsidRPr="00C06F95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A1455F" w:rsidRPr="00C06F95">
        <w:rPr>
          <w:rFonts w:ascii="Times New Roman" w:hAnsi="Times New Roman" w:cs="Times New Roman"/>
          <w:bCs/>
          <w:color w:val="auto"/>
          <w:sz w:val="28"/>
          <w:szCs w:val="28"/>
        </w:rPr>
        <w:t>условии, что в отношении таких кредитов и займов, включая облигационные займы, не предоставляются иные меры государственной поддержки</w:t>
      </w:r>
      <w:r w:rsidR="00125C40" w:rsidRPr="00C06F9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1455F" w:rsidRPr="00C06F95" w:rsidRDefault="00A1455F" w:rsidP="00B3486E">
      <w:pPr>
        <w:pStyle w:val="Default"/>
        <w:spacing w:before="40" w:after="40"/>
        <w:ind w:firstLine="42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Cs/>
          <w:color w:val="auto"/>
          <w:sz w:val="28"/>
          <w:szCs w:val="28"/>
        </w:rPr>
        <w:t>2.4. демонтаж объектов, расположенных на территориях военных городков (в</w:t>
      </w:r>
      <w:r w:rsidR="00B3486E" w:rsidRPr="00C06F95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C06F95">
        <w:rPr>
          <w:rFonts w:ascii="Times New Roman" w:hAnsi="Times New Roman" w:cs="Times New Roman"/>
          <w:bCs/>
          <w:color w:val="auto"/>
          <w:sz w:val="28"/>
          <w:szCs w:val="28"/>
        </w:rPr>
        <w:t>части жилищного строительства)</w:t>
      </w:r>
      <w:r w:rsidR="00125C40" w:rsidRPr="00C06F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2568D" w:rsidRPr="00C06F95" w:rsidRDefault="00D2568D" w:rsidP="00A1455F">
      <w:pPr>
        <w:pStyle w:val="Default"/>
        <w:spacing w:before="100" w:after="100"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Возмещение ограничено размером обязательных платежей ОРП, подлежащих уплате в бюджет</w:t>
      </w:r>
      <w:r w:rsidR="001F0130"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>ы публично-правовых образований, являющихся сторонами СЗПК</w:t>
      </w:r>
      <w:r w:rsidRPr="00C06F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06F95">
        <w:rPr>
          <w:rFonts w:ascii="Times New Roman" w:hAnsi="Times New Roman" w:cs="Times New Roman"/>
          <w:color w:val="auto"/>
          <w:sz w:val="28"/>
          <w:szCs w:val="28"/>
        </w:rPr>
        <w:t xml:space="preserve">(налог на прибыль, налог на имущество, НДС (за вычетом возмещенного), ввозные таможенные пошлины, </w:t>
      </w:r>
      <w:r w:rsidR="00A1455F" w:rsidRPr="00C06F95">
        <w:rPr>
          <w:rFonts w:ascii="Times New Roman" w:hAnsi="Times New Roman" w:cs="Times New Roman"/>
          <w:color w:val="auto"/>
          <w:sz w:val="28"/>
          <w:szCs w:val="28"/>
        </w:rPr>
        <w:t>земельный налог (в случае, если муниципальное образование является стороной СЗПК и таким соглашением предусмотрена возможность возмещения затрат в пределах размера земельного налога, исчисленного ОРП для уплаты в местный бюджет)</w:t>
      </w:r>
      <w:r w:rsidR="00125C40" w:rsidRPr="00C06F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568D" w:rsidRPr="00C06F95" w:rsidRDefault="00754B4E" w:rsidP="005D0B5C">
      <w:pPr>
        <w:pStyle w:val="Default"/>
        <w:spacing w:before="100" w:after="100"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F9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2568D" w:rsidRPr="00C06F95">
        <w:rPr>
          <w:rFonts w:ascii="Times New Roman" w:hAnsi="Times New Roman" w:cs="Times New Roman"/>
          <w:color w:val="auto"/>
          <w:sz w:val="28"/>
          <w:szCs w:val="28"/>
        </w:rPr>
        <w:t>. У ОРП не должно быть задолженности по уплате обязательных платежей в</w:t>
      </w:r>
      <w:r w:rsidR="00B3486E" w:rsidRPr="00C06F9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2568D" w:rsidRPr="00C06F95">
        <w:rPr>
          <w:rFonts w:ascii="Times New Roman" w:hAnsi="Times New Roman" w:cs="Times New Roman"/>
          <w:color w:val="auto"/>
          <w:sz w:val="28"/>
          <w:szCs w:val="28"/>
        </w:rPr>
        <w:t>федеральный бюджет, а также в бюджеты субъектов Российской Федерации</w:t>
      </w:r>
    </w:p>
    <w:p w:rsidR="00D2568D" w:rsidRPr="00C06F95" w:rsidRDefault="00D2568D" w:rsidP="00D2568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26"/>
        <w:gridCol w:w="5027"/>
      </w:tblGrid>
      <w:tr w:rsidR="00C06F95" w:rsidRPr="00C06F95" w:rsidTr="00CA00F5">
        <w:trPr>
          <w:jc w:val="center"/>
        </w:trPr>
        <w:tc>
          <w:tcPr>
            <w:tcW w:w="5026" w:type="dxa"/>
            <w:vAlign w:val="center"/>
          </w:tcPr>
          <w:p w:rsidR="00D2568D" w:rsidRPr="00C06F9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/>
                <w:bCs/>
                <w:color w:val="auto"/>
              </w:rPr>
              <w:t>На обеспечивающую инфраструктуру</w:t>
            </w:r>
          </w:p>
        </w:tc>
        <w:tc>
          <w:tcPr>
            <w:tcW w:w="5027" w:type="dxa"/>
            <w:vAlign w:val="center"/>
          </w:tcPr>
          <w:p w:rsidR="00D2568D" w:rsidRPr="00C06F9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/>
                <w:bCs/>
                <w:color w:val="auto"/>
              </w:rPr>
              <w:t>На сопутствующую инфраструктуру</w:t>
            </w:r>
          </w:p>
        </w:tc>
      </w:tr>
      <w:tr w:rsidR="00C06F95" w:rsidRPr="00C06F95" w:rsidTr="00CA00F5">
        <w:trPr>
          <w:jc w:val="center"/>
        </w:trPr>
        <w:tc>
          <w:tcPr>
            <w:tcW w:w="5026" w:type="dxa"/>
            <w:vAlign w:val="center"/>
          </w:tcPr>
          <w:p w:rsidR="00D2568D" w:rsidRPr="00C06F95" w:rsidRDefault="00D2568D" w:rsidP="00CA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95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используемые </w:t>
            </w:r>
            <w:r w:rsidRPr="00C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исключительно </w:t>
            </w:r>
            <w:r w:rsidRPr="00C06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00F5" w:rsidRPr="00C06F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6F95">
              <w:rPr>
                <w:rFonts w:ascii="Times New Roman" w:hAnsi="Times New Roman" w:cs="Times New Roman"/>
                <w:sz w:val="24"/>
                <w:szCs w:val="24"/>
              </w:rPr>
              <w:t>целях реализации инвестиционного проекта</w:t>
            </w:r>
          </w:p>
        </w:tc>
        <w:tc>
          <w:tcPr>
            <w:tcW w:w="5027" w:type="dxa"/>
            <w:vAlign w:val="center"/>
          </w:tcPr>
          <w:p w:rsidR="00D2568D" w:rsidRPr="00C06F9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Cs/>
                <w:color w:val="auto"/>
              </w:rPr>
              <w:t>Объекты, используемые как в целях реализации инвестиционного проекта,</w:t>
            </w:r>
            <w:r w:rsidR="00CA00F5" w:rsidRPr="00C06F95">
              <w:rPr>
                <w:rFonts w:ascii="Times New Roman" w:hAnsi="Times New Roman" w:cs="Times New Roman"/>
                <w:bCs/>
                <w:color w:val="auto"/>
              </w:rPr>
              <w:br/>
            </w:r>
            <w:r w:rsidRPr="00C06F95">
              <w:rPr>
                <w:rFonts w:ascii="Times New Roman" w:hAnsi="Times New Roman" w:cs="Times New Roman"/>
                <w:bCs/>
                <w:color w:val="auto"/>
              </w:rPr>
              <w:t>так и в иных целях</w:t>
            </w:r>
          </w:p>
        </w:tc>
      </w:tr>
      <w:tr w:rsidR="00C06F95" w:rsidRPr="00C06F95" w:rsidTr="00CA00F5">
        <w:trPr>
          <w:jc w:val="center"/>
        </w:trPr>
        <w:tc>
          <w:tcPr>
            <w:tcW w:w="5026" w:type="dxa"/>
            <w:vAlign w:val="center"/>
          </w:tcPr>
          <w:p w:rsidR="00D2568D" w:rsidRPr="00C06F95" w:rsidRDefault="00D2568D" w:rsidP="00CA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95">
              <w:rPr>
                <w:rFonts w:ascii="Times New Roman" w:hAnsi="Times New Roman" w:cs="Times New Roman"/>
                <w:sz w:val="24"/>
                <w:szCs w:val="24"/>
              </w:rPr>
              <w:t xml:space="preserve">Срок возмещения </w:t>
            </w:r>
            <w:r w:rsidRPr="00C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gramStart"/>
            <w:r w:rsidRPr="00C06F95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="00CA00F5" w:rsidRPr="00C06F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6F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06F95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  <w:r w:rsidRPr="00C06F95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="00CA00F5" w:rsidRPr="00C06F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6F9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160B2" w:rsidRPr="00C0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30" w:rsidRPr="00C06F95">
              <w:rPr>
                <w:rFonts w:ascii="Times New Roman" w:hAnsi="Times New Roman" w:cs="Times New Roman"/>
                <w:sz w:val="24"/>
                <w:szCs w:val="24"/>
              </w:rPr>
              <w:t>заключила договоры</w:t>
            </w:r>
            <w:r w:rsidR="006160B2" w:rsidRPr="00C06F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A00F5" w:rsidRPr="00C06F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60B2" w:rsidRPr="00C06F95">
              <w:rPr>
                <w:rFonts w:ascii="Times New Roman" w:hAnsi="Times New Roman" w:cs="Times New Roman"/>
                <w:sz w:val="24"/>
                <w:szCs w:val="24"/>
              </w:rPr>
              <w:t>субъектами МСП на сумму не менее 18 % от</w:t>
            </w:r>
            <w:r w:rsidR="00CA00F5" w:rsidRPr="00C06F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60B2" w:rsidRPr="00C06F95">
              <w:rPr>
                <w:rFonts w:ascii="Times New Roman" w:hAnsi="Times New Roman" w:cs="Times New Roman"/>
                <w:sz w:val="24"/>
                <w:szCs w:val="24"/>
              </w:rPr>
              <w:t>бюджета проекта)</w:t>
            </w:r>
          </w:p>
        </w:tc>
        <w:tc>
          <w:tcPr>
            <w:tcW w:w="5027" w:type="dxa"/>
            <w:vAlign w:val="center"/>
          </w:tcPr>
          <w:p w:rsidR="00D2568D" w:rsidRPr="00C06F9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Cs/>
                <w:color w:val="auto"/>
              </w:rPr>
              <w:t xml:space="preserve">Срок возмещения </w:t>
            </w:r>
            <w:r w:rsidRPr="00C06F95">
              <w:rPr>
                <w:rFonts w:ascii="Times New Roman" w:hAnsi="Times New Roman" w:cs="Times New Roman"/>
                <w:b/>
                <w:bCs/>
                <w:color w:val="auto"/>
              </w:rPr>
              <w:t>10 лет</w:t>
            </w:r>
            <w:r w:rsidR="00CA00F5" w:rsidRPr="00C06F95"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  <w:r w:rsidRPr="00C06F95">
              <w:rPr>
                <w:rFonts w:ascii="Times New Roman" w:hAnsi="Times New Roman" w:cs="Times New Roman"/>
                <w:b/>
                <w:bCs/>
                <w:color w:val="auto"/>
              </w:rPr>
              <w:t>(11 лет</w:t>
            </w:r>
            <w:r w:rsidRPr="00C06F95">
              <w:rPr>
                <w:rFonts w:ascii="Times New Roman" w:hAnsi="Times New Roman" w:cs="Times New Roman"/>
                <w:bCs/>
                <w:color w:val="auto"/>
              </w:rPr>
              <w:t xml:space="preserve"> если организация заключила договор</w:t>
            </w:r>
            <w:r w:rsidR="001F0130" w:rsidRPr="00C06F95">
              <w:rPr>
                <w:rFonts w:ascii="Times New Roman" w:hAnsi="Times New Roman" w:cs="Times New Roman"/>
                <w:bCs/>
                <w:color w:val="auto"/>
              </w:rPr>
              <w:t>ы</w:t>
            </w:r>
            <w:r w:rsidRPr="00C06F95">
              <w:rPr>
                <w:rFonts w:ascii="Times New Roman" w:hAnsi="Times New Roman" w:cs="Times New Roman"/>
                <w:bCs/>
                <w:color w:val="auto"/>
              </w:rPr>
              <w:t xml:space="preserve"> с</w:t>
            </w:r>
            <w:r w:rsidR="00B3486E" w:rsidRPr="00C06F95"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Pr="00C06F95">
              <w:rPr>
                <w:rFonts w:ascii="Times New Roman" w:hAnsi="Times New Roman" w:cs="Times New Roman"/>
                <w:bCs/>
                <w:color w:val="auto"/>
              </w:rPr>
              <w:t>субъектами МСП на сумму не менее 18</w:t>
            </w:r>
            <w:r w:rsidR="00B3486E" w:rsidRPr="00C06F95"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="006160B2" w:rsidRPr="00C06F95">
              <w:rPr>
                <w:rFonts w:ascii="Times New Roman" w:hAnsi="Times New Roman" w:cs="Times New Roman"/>
                <w:bCs/>
                <w:color w:val="auto"/>
              </w:rPr>
              <w:t>%</w:t>
            </w:r>
            <w:r w:rsidRPr="00C06F95">
              <w:rPr>
                <w:rFonts w:ascii="Times New Roman" w:hAnsi="Times New Roman" w:cs="Times New Roman"/>
                <w:bCs/>
                <w:color w:val="auto"/>
              </w:rPr>
              <w:t xml:space="preserve"> от</w:t>
            </w:r>
            <w:r w:rsidR="00CA00F5" w:rsidRPr="00C06F95"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Pr="00C06F95">
              <w:rPr>
                <w:rFonts w:ascii="Times New Roman" w:hAnsi="Times New Roman" w:cs="Times New Roman"/>
                <w:bCs/>
                <w:color w:val="auto"/>
              </w:rPr>
              <w:t>бюджета проекта)</w:t>
            </w:r>
          </w:p>
        </w:tc>
      </w:tr>
      <w:tr w:rsidR="00D2568D" w:rsidRPr="00C06F95" w:rsidTr="00CA00F5">
        <w:trPr>
          <w:jc w:val="center"/>
        </w:trPr>
        <w:tc>
          <w:tcPr>
            <w:tcW w:w="5026" w:type="dxa"/>
            <w:vAlign w:val="center"/>
          </w:tcPr>
          <w:p w:rsidR="00D2568D" w:rsidRPr="00C06F9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Cs/>
                <w:color w:val="auto"/>
              </w:rPr>
              <w:t>Возмещение до 50% понесенных затрат</w:t>
            </w:r>
          </w:p>
        </w:tc>
        <w:tc>
          <w:tcPr>
            <w:tcW w:w="5027" w:type="dxa"/>
            <w:vAlign w:val="center"/>
          </w:tcPr>
          <w:p w:rsidR="00D2568D" w:rsidRPr="00C06F95" w:rsidRDefault="00D2568D" w:rsidP="00CA00F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6F95">
              <w:rPr>
                <w:rFonts w:ascii="Times New Roman" w:hAnsi="Times New Roman" w:cs="Times New Roman"/>
                <w:bCs/>
                <w:color w:val="auto"/>
              </w:rPr>
              <w:t>Возмещение до 100% понесенных затрат</w:t>
            </w:r>
          </w:p>
        </w:tc>
      </w:tr>
    </w:tbl>
    <w:p w:rsidR="00A236EB" w:rsidRPr="00C06F95" w:rsidRDefault="00C06F95" w:rsidP="005D0B5C">
      <w:pPr>
        <w:rPr>
          <w:rFonts w:ascii="Times New Roman" w:hAnsi="Times New Roman" w:cs="Times New Roman"/>
          <w:sz w:val="28"/>
          <w:szCs w:val="28"/>
        </w:rPr>
      </w:pPr>
    </w:p>
    <w:sectPr w:rsidR="00A236EB" w:rsidRPr="00C06F95" w:rsidSect="00C06F95">
      <w:headerReference w:type="default" r:id="rId8"/>
      <w:pgSz w:w="11906" w:h="16838"/>
      <w:pgMar w:top="727" w:right="850" w:bottom="709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59" w:rsidRDefault="00DF4E59" w:rsidP="005D0B5C">
      <w:pPr>
        <w:spacing w:after="0" w:line="240" w:lineRule="auto"/>
      </w:pPr>
      <w:r>
        <w:separator/>
      </w:r>
    </w:p>
  </w:endnote>
  <w:endnote w:type="continuationSeparator" w:id="0">
    <w:p w:rsidR="00DF4E59" w:rsidRDefault="00DF4E59" w:rsidP="005D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59" w:rsidRDefault="00DF4E59" w:rsidP="005D0B5C">
      <w:pPr>
        <w:spacing w:after="0" w:line="240" w:lineRule="auto"/>
      </w:pPr>
      <w:r>
        <w:separator/>
      </w:r>
    </w:p>
  </w:footnote>
  <w:footnote w:type="continuationSeparator" w:id="0">
    <w:p w:rsidR="00DF4E59" w:rsidRDefault="00DF4E59" w:rsidP="005D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512175"/>
      <w:docPartObj>
        <w:docPartGallery w:val="Page Numbers (Top of Page)"/>
        <w:docPartUnique/>
      </w:docPartObj>
    </w:sdtPr>
    <w:sdtEndPr/>
    <w:sdtContent>
      <w:p w:rsidR="005D0B5C" w:rsidRDefault="005D0B5C">
        <w:pPr>
          <w:pStyle w:val="a4"/>
          <w:jc w:val="center"/>
        </w:pPr>
        <w:r w:rsidRPr="005D0B5C">
          <w:rPr>
            <w:rFonts w:ascii="Arial" w:hAnsi="Arial" w:cs="Arial"/>
            <w:sz w:val="20"/>
            <w:szCs w:val="20"/>
          </w:rPr>
          <w:fldChar w:fldCharType="begin"/>
        </w:r>
        <w:r w:rsidRPr="005D0B5C">
          <w:rPr>
            <w:rFonts w:ascii="Arial" w:hAnsi="Arial" w:cs="Arial"/>
            <w:sz w:val="20"/>
            <w:szCs w:val="20"/>
          </w:rPr>
          <w:instrText>PAGE   \* MERGEFORMAT</w:instrText>
        </w:r>
        <w:r w:rsidRPr="005D0B5C">
          <w:rPr>
            <w:rFonts w:ascii="Arial" w:hAnsi="Arial" w:cs="Arial"/>
            <w:sz w:val="20"/>
            <w:szCs w:val="20"/>
          </w:rPr>
          <w:fldChar w:fldCharType="separate"/>
        </w:r>
        <w:r w:rsidR="00C06F95">
          <w:rPr>
            <w:rFonts w:ascii="Arial" w:hAnsi="Arial" w:cs="Arial"/>
            <w:noProof/>
            <w:sz w:val="20"/>
            <w:szCs w:val="20"/>
          </w:rPr>
          <w:t>5</w:t>
        </w:r>
        <w:r w:rsidRPr="005D0B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D0B5C" w:rsidRDefault="005D0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06CB"/>
    <w:multiLevelType w:val="hybridMultilevel"/>
    <w:tmpl w:val="764A795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7B7"/>
    <w:multiLevelType w:val="hybridMultilevel"/>
    <w:tmpl w:val="33D4DA48"/>
    <w:lvl w:ilvl="0" w:tplc="0C881D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871713"/>
    <w:multiLevelType w:val="hybridMultilevel"/>
    <w:tmpl w:val="D2AE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33EF"/>
    <w:multiLevelType w:val="hybridMultilevel"/>
    <w:tmpl w:val="165888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C1E18"/>
    <w:multiLevelType w:val="hybridMultilevel"/>
    <w:tmpl w:val="83106512"/>
    <w:lvl w:ilvl="0" w:tplc="EAC052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12429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87707"/>
    <w:multiLevelType w:val="hybridMultilevel"/>
    <w:tmpl w:val="4F1C46DC"/>
    <w:lvl w:ilvl="0" w:tplc="F2B0E8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124294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7CEB"/>
    <w:multiLevelType w:val="hybridMultilevel"/>
    <w:tmpl w:val="4164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41E2"/>
    <w:multiLevelType w:val="hybridMultilevel"/>
    <w:tmpl w:val="80FC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8D"/>
    <w:rsid w:val="000421AB"/>
    <w:rsid w:val="00042322"/>
    <w:rsid w:val="000821D6"/>
    <w:rsid w:val="000D73B0"/>
    <w:rsid w:val="000F28C9"/>
    <w:rsid w:val="00125C40"/>
    <w:rsid w:val="00171BE3"/>
    <w:rsid w:val="001A5A51"/>
    <w:rsid w:val="001B5667"/>
    <w:rsid w:val="001F0130"/>
    <w:rsid w:val="00261C6D"/>
    <w:rsid w:val="002A2EF4"/>
    <w:rsid w:val="003076EC"/>
    <w:rsid w:val="0032726C"/>
    <w:rsid w:val="00346140"/>
    <w:rsid w:val="00377809"/>
    <w:rsid w:val="00391550"/>
    <w:rsid w:val="00512C4F"/>
    <w:rsid w:val="00576859"/>
    <w:rsid w:val="005D0B5C"/>
    <w:rsid w:val="006160B2"/>
    <w:rsid w:val="00626708"/>
    <w:rsid w:val="0069739E"/>
    <w:rsid w:val="006C59CF"/>
    <w:rsid w:val="00754B4E"/>
    <w:rsid w:val="00790C1D"/>
    <w:rsid w:val="007D494A"/>
    <w:rsid w:val="0083562B"/>
    <w:rsid w:val="0084207F"/>
    <w:rsid w:val="00851584"/>
    <w:rsid w:val="00901EAB"/>
    <w:rsid w:val="00951091"/>
    <w:rsid w:val="00A01AD6"/>
    <w:rsid w:val="00A1455F"/>
    <w:rsid w:val="00A972EF"/>
    <w:rsid w:val="00AA538F"/>
    <w:rsid w:val="00AB1199"/>
    <w:rsid w:val="00AC2DAF"/>
    <w:rsid w:val="00B22D3A"/>
    <w:rsid w:val="00B3486E"/>
    <w:rsid w:val="00C06F95"/>
    <w:rsid w:val="00C61EC9"/>
    <w:rsid w:val="00CA00F5"/>
    <w:rsid w:val="00D2568D"/>
    <w:rsid w:val="00D3610E"/>
    <w:rsid w:val="00D5470C"/>
    <w:rsid w:val="00D67A53"/>
    <w:rsid w:val="00D904E6"/>
    <w:rsid w:val="00DF4E59"/>
    <w:rsid w:val="00E03EA6"/>
    <w:rsid w:val="00E94F75"/>
    <w:rsid w:val="00EA75F8"/>
    <w:rsid w:val="00F12EA1"/>
    <w:rsid w:val="00F30068"/>
    <w:rsid w:val="00F419A1"/>
    <w:rsid w:val="00F62BC1"/>
    <w:rsid w:val="00F9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101C84-7307-42F7-B267-6993CABF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D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B5C"/>
  </w:style>
  <w:style w:type="paragraph" w:styleId="a6">
    <w:name w:val="footer"/>
    <w:basedOn w:val="a"/>
    <w:link w:val="a7"/>
    <w:uiPriority w:val="99"/>
    <w:unhideWhenUsed/>
    <w:rsid w:val="005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B5C"/>
  </w:style>
  <w:style w:type="paragraph" w:styleId="a8">
    <w:name w:val="Balloon Text"/>
    <w:basedOn w:val="a"/>
    <w:link w:val="a9"/>
    <w:uiPriority w:val="99"/>
    <w:semiHidden/>
    <w:unhideWhenUsed/>
    <w:rsid w:val="001A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51"/>
    <w:rPr>
      <w:rFonts w:ascii="Segoe UI" w:hAnsi="Segoe UI" w:cs="Segoe UI"/>
      <w:sz w:val="18"/>
      <w:szCs w:val="18"/>
    </w:rPr>
  </w:style>
  <w:style w:type="paragraph" w:styleId="aa">
    <w:name w:val="List Paragraph"/>
    <w:aliases w:val="Bullet List,FooterText,numbered,Подпись рисунка,Маркированный список_уровень1,List Paragraph,ПАРАГРАФ,рабочий,Абзац списка литеральный,it_List1,Paragraphe de liste1,lp1,Bullet 1,Use Case List Paragraph,Абзац списка2,References,Bullets,Булит"/>
    <w:basedOn w:val="a"/>
    <w:link w:val="ab"/>
    <w:uiPriority w:val="34"/>
    <w:qFormat/>
    <w:rsid w:val="00790C1D"/>
    <w:pPr>
      <w:ind w:left="720"/>
      <w:contextualSpacing/>
    </w:pPr>
  </w:style>
  <w:style w:type="character" w:customStyle="1" w:styleId="ab">
    <w:name w:val="Абзац списка Знак"/>
    <w:aliases w:val="Bullet List Знак,FooterText Знак,numbered Знак,Подпись рисунка Знак,Маркированный список_уровень1 Знак,List Paragraph Знак,ПАРАГРАФ Знак,рабочий Знак,Абзац списка литеральный Знак,it_List1 Знак,Paragraphe de liste1 Знак,lp1 Знак"/>
    <w:basedOn w:val="a0"/>
    <w:link w:val="aa"/>
    <w:uiPriority w:val="34"/>
    <w:qFormat/>
    <w:locked/>
    <w:rsid w:val="0079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DA20-DC90-493F-8B7A-D5F23D88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Губайдуллина Евгения Алексеевна</dc:creator>
  <cp:keywords/>
  <dc:description/>
  <cp:lastModifiedBy>Минэкономразвития РА</cp:lastModifiedBy>
  <cp:revision>5</cp:revision>
  <cp:lastPrinted>2023-01-23T10:23:00Z</cp:lastPrinted>
  <dcterms:created xsi:type="dcterms:W3CDTF">2023-01-23T07:20:00Z</dcterms:created>
  <dcterms:modified xsi:type="dcterms:W3CDTF">2023-01-23T10:23:00Z</dcterms:modified>
</cp:coreProperties>
</file>