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8.xml" ContentType="application/vnd.openxmlformats-officedocument.wordprocessingml.footer+xml"/>
  <Override PartName="/word/footer37.xml" ContentType="application/vnd.openxmlformats-officedocument.wordprocessingml.footer+xml"/>
  <Override PartName="/word/footer34.xml" ContentType="application/vnd.openxmlformats-officedocument.wordprocessingml.footer+xml"/>
  <Override PartName="/word/footer33.xml" ContentType="application/vnd.openxmlformats-officedocument.wordprocessingml.footer+xml"/>
  <Override PartName="/word/footer30.xml" ContentType="application/vnd.openxmlformats-officedocument.wordprocessingml.footer+xml"/>
  <Override PartName="/word/footer29.xml" ContentType="application/vnd.openxmlformats-officedocument.wordprocessingml.footer+xml"/>
  <Override PartName="/word/footer26.xml" ContentType="application/vnd.openxmlformats-officedocument.wordprocessingml.footer+xml"/>
  <Override PartName="/word/footer32.xml" ContentType="application/vnd.openxmlformats-officedocument.wordprocessingml.footer+xml"/>
  <Override PartName="/word/footer25.xml" ContentType="application/vnd.openxmlformats-officedocument.wordprocessingml.footer+xml"/>
  <Override PartName="/word/footer23.xml" ContentType="application/vnd.openxmlformats-officedocument.wordprocessingml.footer+xml"/>
  <Override PartName="/word/footer22.xml" ContentType="application/vnd.openxmlformats-officedocument.wordprocessingml.footer+xml"/>
  <Override PartName="/word/footer27.xml" ContentType="application/vnd.openxmlformats-officedocument.wordprocessingml.footer+xml"/>
  <Override PartName="/word/footer21.xml" ContentType="application/vnd.openxmlformats-officedocument.wordprocessingml.footer+xml"/>
  <Override PartName="/word/footer18.xml" ContentType="application/vnd.openxmlformats-officedocument.wordprocessingml.footer+xml"/>
  <Override PartName="/word/footer17.xml" ContentType="application/vnd.openxmlformats-officedocument.wordprocessingml.footer+xml"/>
  <Override PartName="/word/footer19.xml" ContentType="application/vnd.openxmlformats-officedocument.wordprocessingml.footer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4.xml" ContentType="application/vnd.openxmlformats-officedocument.wordprocessingml.footer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28.xml" ContentType="application/vnd.openxmlformats-officedocument.wordprocessingml.footer+xml"/>
  <Override PartName="/word/header37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2.xml" ContentType="application/vnd.openxmlformats-officedocument.wordprocessingml.header+xml"/>
  <Override PartName="/word/header30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16.xml" ContentType="application/vnd.openxmlformats-officedocument.wordprocessingml.foot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header26.xml" ContentType="application/vnd.openxmlformats-officedocument.wordprocessingml.header+xml"/>
  <Override PartName="/word/header25.xml" ContentType="application/vnd.openxmlformats-officedocument.wordprocessingml.header+xml"/>
  <Override PartName="/word/header31.xml" ContentType="application/vnd.openxmlformats-officedocument.wordprocessingml.head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header20.xml" ContentType="application/vnd.openxmlformats-officedocument.wordprocessingml.head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header36.xml" ContentType="application/vnd.openxmlformats-officedocument.wordprocessingml.header+xml"/>
  <Override PartName="/word/footer31.xml" ContentType="application/vnd.openxmlformats-officedocument.wordprocessingml.footer+xml"/>
  <Override PartName="/word/header12.xml" ContentType="application/vnd.openxmlformats-officedocument.wordprocessingml.header+xml"/>
  <Override PartName="/word/header16.xml" ContentType="application/vnd.openxmlformats-officedocument.wordprocessingml.head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header8.xml" ContentType="application/vnd.openxmlformats-officedocument.wordprocessingml.header+xml"/>
  <Override PartName="/word/header33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11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9.xml" ContentType="application/vnd.openxmlformats-officedocument.wordprocessingml.footer+xml"/>
  <Override PartName="/word/endnotes.xml" ContentType="application/vnd.openxmlformats-officedocument.wordprocessingml.endnotes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footer36.xml" ContentType="application/vnd.openxmlformats-officedocument.wordprocessingml.footer+xml"/>
  <Override PartName="/word/header2.xml" ContentType="application/vnd.openxmlformats-officedocument.wordprocessingml.header+xml"/>
  <Override PartName="/word/header38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19.xml" ContentType="application/vnd.openxmlformats-officedocument.wordprocessingml.header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er35.xml" ContentType="application/vnd.openxmlformats-officedocument.wordprocessingml.footer+xml"/>
  <Override PartName="/word/footnotes.xml" ContentType="application/vnd.openxmlformats-officedocument.wordprocessingml.footnotes+xml"/>
  <Override PartName="/word/header22.xml" ContentType="application/vnd.openxmlformats-officedocument.wordprocessingml.header+xml"/>
  <Override PartName="/word/styles.xml" ContentType="application/vnd.openxmlformats-officedocument.wordprocessingml.styles+xml"/>
  <Override PartName="/word/header15.xml" ContentType="application/vnd.openxmlformats-officedocument.wordprocessingml.header+xml"/>
  <Override PartName="/word/header17.xml" ContentType="application/vnd.openxmlformats-officedocument.wordprocessingml.header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>
        <w:tblPrEx/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textDirection w:val="lrTb"/>
            <w:noWrap w:val="false"/>
          </w:tcPr>
          <w:p>
            <w:pPr>
              <w:pStyle w:val="4618"/>
            </w:pPr>
            <w:r/>
            <w:bookmarkStart w:id="0" w:name="_GoBack"/>
            <w:r/>
            <w:bookmarkEnd w:id="0"/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84" o:title=""/>
                    </v:shape>
                  </w:pict>
                </mc:Fallback>
              </mc:AlternateContent>
            </w:r>
            <w:r/>
          </w:p>
        </w:tc>
      </w:tr>
      <w:tr>
        <w:tblPrEx/>
        <w:trPr>
          <w:trHeight w:val="833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4618"/>
              <w:jc w:val="center"/>
            </w:pPr>
            <w:r>
              <w:rPr>
                <w:sz w:val="48"/>
              </w:rPr>
              <w:t xml:space="preserve">Распоряжение Правительства РФ от 16.10.2023 N 2846-р</w:t>
            </w:r>
            <w:r>
              <w:rPr>
                <w:sz w:val="48"/>
              </w:rPr>
              <w:br/>
              <w:t xml:space="preserve">(ред. от 27.06.2026)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 xml:space="preserve">&lt;О плане реализации Стратегии социально-экономического развития Сибирского федерального округа до 2035 года&gt;</w:t>
            </w:r>
            <w:r/>
          </w:p>
        </w:tc>
      </w:tr>
      <w:tr>
        <w:tblPrEx/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4618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5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r/>
            <w:hyperlink r:id="rId86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 xml:space="preserve">Дата сохранения: 03.09.2026</w:t>
            </w:r>
            <w:r>
              <w:rPr>
                <w:sz w:val="28"/>
              </w:rPr>
              <w:br/>
              <w:t xml:space="preserve"> </w:t>
            </w:r>
            <w:r/>
          </w:p>
        </w:tc>
      </w:tr>
    </w:tbl>
    <w:p>
      <w:pPr>
        <w:pStyle w:val="4613"/>
        <w:sectPr>
          <w:footnotePr/>
          <w:endnotePr/>
          <w:type w:val="nextPage"/>
          <w:pgSz w:w="11906" w:h="16838" w:orient="portrait"/>
          <w:pgMar w:top="841" w:right="595" w:bottom="841" w:left="595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center"/>
        <w:outlineLvl w:val="0"/>
      </w:pPr>
      <w:r/>
      <w:r/>
    </w:p>
    <w:p>
      <w:pPr>
        <w:pStyle w:val="4615"/>
        <w:jc w:val="center"/>
        <w:outlineLvl w:val="0"/>
      </w:pPr>
      <w:r>
        <w:t xml:space="preserve">ПРАВИТЕЛЬСТВО РОССИЙСКОЙ ФЕДЕРАЦИИ</w:t>
      </w:r>
      <w:r/>
    </w:p>
    <w:p>
      <w:pPr>
        <w:pStyle w:val="4615"/>
        <w:jc w:val="center"/>
      </w:pPr>
      <w:r/>
      <w:r/>
    </w:p>
    <w:p>
      <w:pPr>
        <w:pStyle w:val="4615"/>
        <w:jc w:val="center"/>
      </w:pPr>
      <w:r>
        <w:t xml:space="preserve">РАСПОРЯЖЕНИЕ</w:t>
      </w:r>
      <w:r/>
    </w:p>
    <w:p>
      <w:pPr>
        <w:pStyle w:val="4615"/>
        <w:jc w:val="center"/>
      </w:pPr>
      <w:r>
        <w:t xml:space="preserve">от 16 октября 2023 г. N 2846-р</w:t>
      </w:r>
      <w:r/>
    </w:p>
    <w:p>
      <w:pPr>
        <w:pStyle w:val="4613"/>
        <w:spacing w:after="1"/>
      </w:pPr>
      <w:r/>
      <w:r/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  <w:r/>
          </w:p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04.09.2025 N 2448-р,</w:t>
            </w:r>
            <w:r/>
          </w:p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от 27.06.2026 N 1643-р)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</w:tr>
    </w:tbl>
    <w:p>
      <w:pPr>
        <w:pStyle w:val="4613"/>
        <w:jc w:val="center"/>
      </w:pPr>
      <w:r/>
      <w:r/>
    </w:p>
    <w:p>
      <w:pPr>
        <w:pStyle w:val="4613"/>
        <w:ind w:firstLine="540"/>
        <w:jc w:val="both"/>
      </w:pPr>
      <w:r>
        <w:t xml:space="preserve">1. Утвердить прилагаемый </w:t>
      </w:r>
      <w:hyperlink w:tooltip="ПЛАН" w:anchor="P29" w:history="1">
        <w:r>
          <w:rPr>
            <w:color w:val="0000ff"/>
          </w:rPr>
          <w:t xml:space="preserve">план</w:t>
        </w:r>
      </w:hyperlink>
      <w:r>
        <w:t xml:space="preserve"> реализации Стратегии</w:t>
      </w:r>
      <w:r>
        <w:t xml:space="preserve"> социально-экономического развития Сибирского федерального округа до 2035 года (далее соответственно - Стратегия, план).</w:t>
      </w:r>
      <w:r/>
    </w:p>
    <w:p>
      <w:pPr>
        <w:pStyle w:val="4613"/>
        <w:ind w:firstLine="540"/>
        <w:jc w:val="both"/>
        <w:spacing w:before="240"/>
      </w:pPr>
      <w:r>
        <w:t xml:space="preserve">2. Федеральным органам исполнительной власти, ответственным за реализацию </w:t>
      </w:r>
      <w:hyperlink w:tooltip="ПЛАН" w:anchor="P29" w:history="1">
        <w:r>
          <w:rPr>
            <w:color w:val="0000ff"/>
          </w:rPr>
          <w:t xml:space="preserve">плана</w:t>
        </w:r>
      </w:hyperlink>
      <w:r>
        <w:t xml:space="preserve">, принять меры по ег</w:t>
      </w:r>
      <w:r>
        <w:t xml:space="preserve">о выполнению с представлением в Минэкономразвития России ежегодно, не позднее 31 января года, следующего за отчетным годом, сведений о ходе реализации </w:t>
      </w:r>
      <w:hyperlink w:tooltip="ПЛАН" w:anchor="P29" w:history="1">
        <w:r>
          <w:rPr>
            <w:color w:val="0000ff"/>
          </w:rPr>
          <w:t xml:space="preserve">плана</w:t>
        </w:r>
      </w:hyperlink>
      <w:r>
        <w:t xml:space="preserve">.</w:t>
      </w:r>
      <w:r/>
    </w:p>
    <w:p>
      <w:pPr>
        <w:pStyle w:val="4613"/>
        <w:ind w:firstLine="540"/>
        <w:jc w:val="both"/>
        <w:spacing w:before="240"/>
      </w:pPr>
      <w:r>
        <w:t xml:space="preserve">3. Рекомендовать исполнительным органам субъектов Российской Ф</w:t>
      </w:r>
      <w:r>
        <w:t xml:space="preserve">едерации, входящих в состав Сибирского федерального округа, и организациям, ответственным за реализацию </w:t>
      </w:r>
      <w:hyperlink w:tooltip="ПЛАН" w:anchor="P29" w:history="1">
        <w:r>
          <w:rPr>
            <w:color w:val="0000ff"/>
          </w:rPr>
          <w:t xml:space="preserve">плана</w:t>
        </w:r>
      </w:hyperlink>
      <w:r>
        <w:t xml:space="preserve">, принять меры по его выполнению с представлением в Минэкономразвития России ежегодно, не позднее 31 января год</w:t>
      </w:r>
      <w:r>
        <w:t xml:space="preserve">а, следующего за отчетным годом, сведений о ходе реализации </w:t>
      </w:r>
      <w:hyperlink w:tooltip="ПЛАН" w:anchor="P29" w:history="1">
        <w:r>
          <w:rPr>
            <w:color w:val="0000ff"/>
          </w:rPr>
          <w:t xml:space="preserve">плана</w:t>
        </w:r>
      </w:hyperlink>
      <w:r>
        <w:t xml:space="preserve">.</w:t>
      </w:r>
      <w:r/>
    </w:p>
    <w:p>
      <w:pPr>
        <w:pStyle w:val="4613"/>
        <w:ind w:firstLine="540"/>
        <w:jc w:val="both"/>
        <w:spacing w:before="240"/>
      </w:pPr>
      <w:r>
        <w:t xml:space="preserve">4. Минэкономразвития России осуществлять контроль за реализацией </w:t>
      </w:r>
      <w:hyperlink w:tooltip="ПЛАН" w:anchor="P29" w:history="1">
        <w:r>
          <w:rPr>
            <w:color w:val="0000ff"/>
          </w:rPr>
          <w:t xml:space="preserve">плана</w:t>
        </w:r>
      </w:hyperlink>
      <w:r>
        <w:t xml:space="preserve"> и не позднее 15 марта года, следующего за отче</w:t>
      </w:r>
      <w:r>
        <w:t xml:space="preserve">тным годом, представлять в Правительство Российской Федерации ежегодный доклад о ходе реализации </w:t>
      </w:r>
      <w:hyperlink w:tooltip="ПЛАН" w:anchor="P29" w:history="1">
        <w:r>
          <w:rPr>
            <w:color w:val="0000ff"/>
          </w:rPr>
          <w:t xml:space="preserve">плана</w:t>
        </w:r>
      </w:hyperlink>
      <w:r>
        <w:t xml:space="preserve"> и в случае необходимости предложения, касающиеся корректировки </w:t>
      </w:r>
      <w:hyperlink w:tooltip="ПЛАН" w:anchor="P29" w:history="1">
        <w:r>
          <w:rPr>
            <w:color w:val="0000ff"/>
          </w:rPr>
          <w:t xml:space="preserve">плана</w:t>
        </w:r>
      </w:hyperlink>
      <w:r>
        <w:t xml:space="preserve">.</w:t>
      </w:r>
      <w:r/>
    </w:p>
    <w:p>
      <w:pPr>
        <w:pStyle w:val="4613"/>
        <w:ind w:firstLine="540"/>
        <w:jc w:val="both"/>
        <w:spacing w:before="240"/>
      </w:pPr>
      <w:r>
        <w:t xml:space="preserve">5. Президиу</w:t>
      </w:r>
      <w:r>
        <w:t xml:space="preserve">му (штабу) Правительственной комиссии по региональному развитию в Российской Федерации при принятии решений в соответствии с пунктом 12(1) Положения о Правительственной комиссии по региональному развитию в Российской Федерации, утвержденного постановлением</w:t>
      </w:r>
      <w:r>
        <w:t xml:space="preserve"> Правительства Российской Федерации от 21 мая 2016 г. N 451 "О Правительственной комиссии по региональному развитию в Российской Федерации", учитывать в приоритетном порядке перечень проектов в социальной сфере согласно </w:t>
      </w:r>
      <w:hyperlink w:tooltip="ПЕРЕЧЕНЬ" w:anchor="P3920" w:history="1">
        <w:r>
          <w:rPr>
            <w:color w:val="0000ff"/>
          </w:rPr>
          <w:t xml:space="preserve">приложению</w:t>
        </w:r>
      </w:hyperlink>
      <w:r>
        <w:t xml:space="preserve">.</w:t>
      </w:r>
      <w:r/>
    </w:p>
    <w:p>
      <w:pPr>
        <w:pStyle w:val="4613"/>
        <w:ind w:firstLine="540"/>
        <w:jc w:val="both"/>
        <w:spacing w:before="240"/>
      </w:pPr>
      <w:r>
        <w:t xml:space="preserve">6. Рекомендовать высшим исполнительным органам субъектов Российской Федерации и органам местного самоуправления руководствоваться положениями </w:t>
      </w:r>
      <w:hyperlink w:tooltip="ПЛАН" w:anchor="P29" w:history="1">
        <w:r>
          <w:rPr>
            <w:color w:val="0000ff"/>
          </w:rPr>
          <w:t xml:space="preserve">плана</w:t>
        </w:r>
      </w:hyperlink>
      <w:r>
        <w:t xml:space="preserve"> при разработке и реализации стратегий социально-экономического развития </w:t>
      </w:r>
      <w:r>
        <w:t xml:space="preserve">субъектов Российской Федерации и муниципальных образований и иных документов стратегического планирования.</w:t>
      </w:r>
      <w:r/>
    </w:p>
    <w:p>
      <w:pPr>
        <w:pStyle w:val="4613"/>
        <w:ind w:firstLine="540"/>
        <w:jc w:val="both"/>
      </w:pPr>
      <w:r/>
      <w:r/>
    </w:p>
    <w:p>
      <w:pPr>
        <w:pStyle w:val="4613"/>
        <w:jc w:val="right"/>
      </w:pPr>
      <w:r>
        <w:t xml:space="preserve">Председатель Правительства</w:t>
      </w:r>
      <w:r/>
    </w:p>
    <w:p>
      <w:pPr>
        <w:pStyle w:val="4613"/>
        <w:jc w:val="right"/>
      </w:pPr>
      <w:r>
        <w:t xml:space="preserve">Российской Федерации</w:t>
      </w:r>
      <w:r/>
    </w:p>
    <w:p>
      <w:pPr>
        <w:pStyle w:val="4613"/>
        <w:jc w:val="right"/>
      </w:pPr>
      <w:r>
        <w:t xml:space="preserve">М.МИШУСТИН</w:t>
      </w:r>
      <w:r/>
    </w:p>
    <w:p>
      <w:pPr>
        <w:pStyle w:val="4613"/>
        <w:ind w:firstLine="540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right"/>
        <w:outlineLvl w:val="0"/>
      </w:pPr>
      <w:r>
        <w:t xml:space="preserve">Утвержден</w:t>
      </w:r>
      <w:r/>
    </w:p>
    <w:p>
      <w:pPr>
        <w:pStyle w:val="4613"/>
        <w:jc w:val="right"/>
      </w:pPr>
      <w:r>
        <w:t xml:space="preserve">распоряжением Правительства</w:t>
      </w:r>
      <w:r/>
    </w:p>
    <w:p>
      <w:pPr>
        <w:pStyle w:val="4613"/>
        <w:jc w:val="right"/>
      </w:pPr>
      <w:r>
        <w:t xml:space="preserve">Российской Федерации</w:t>
      </w:r>
      <w:r/>
    </w:p>
    <w:p>
      <w:pPr>
        <w:pStyle w:val="4613"/>
        <w:jc w:val="right"/>
      </w:pPr>
      <w:r>
        <w:t xml:space="preserve">от 16 октября 2023 г. N 2846-р</w:t>
      </w:r>
      <w:r/>
    </w:p>
    <w:p>
      <w:pPr>
        <w:pStyle w:val="4613"/>
        <w:jc w:val="both"/>
      </w:pPr>
      <w:r/>
      <w:r/>
    </w:p>
    <w:p>
      <w:pPr>
        <w:pStyle w:val="4615"/>
        <w:jc w:val="center"/>
      </w:pPr>
      <w:r/>
      <w:bookmarkStart w:id="1" w:name="P29"/>
      <w:r/>
      <w:bookmarkEnd w:id="1"/>
      <w:r>
        <w:t xml:space="preserve">ПЛАН</w:t>
      </w:r>
      <w:r/>
    </w:p>
    <w:p>
      <w:pPr>
        <w:pStyle w:val="4615"/>
        <w:jc w:val="center"/>
      </w:pPr>
      <w:r>
        <w:t xml:space="preserve">РЕАЛИЗАЦИИ СТРАТЕГИИ СОЦИАЛЬНО-ЭКОНОМИЧЕСКОГО РАЗВИТИЯ</w:t>
      </w:r>
      <w:r/>
    </w:p>
    <w:p>
      <w:pPr>
        <w:pStyle w:val="4615"/>
        <w:jc w:val="center"/>
      </w:pPr>
      <w:r>
        <w:t xml:space="preserve">СИБИРСКОГО ФЕДЕРАЛЬНОГО ОКРУГА ДО 2035 ГОДА</w:t>
      </w:r>
      <w:r/>
    </w:p>
    <w:p>
      <w:pPr>
        <w:pStyle w:val="4613"/>
        <w:spacing w:after="1"/>
      </w:pPr>
      <w:r/>
      <w:r/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  <w:r/>
          </w:p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04.09.2025 N 2448-р,</w:t>
            </w:r>
            <w:r/>
          </w:p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от 27.06.2026 N 1643-р)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</w:tr>
    </w:tbl>
    <w:p>
      <w:pPr>
        <w:pStyle w:val="4613"/>
        <w:jc w:val="both"/>
      </w:pPr>
      <w:r/>
      <w:r/>
    </w:p>
    <w:p>
      <w:pPr>
        <w:pStyle w:val="4613"/>
        <w:sectPr>
          <w:headerReference w:type="default" r:id="rId8"/>
          <w:headerReference w:type="first" r:id="rId9"/>
          <w:footerReference w:type="default" r:id="rId46"/>
          <w:footerReference w:type="first" r:id="rId47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60"/>
        <w:gridCol w:w="3787"/>
        <w:gridCol w:w="3906"/>
        <w:gridCol w:w="2486"/>
        <w:gridCol w:w="2874"/>
        <w:gridCol w:w="2131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419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1"/>
            </w:pPr>
            <w:r>
              <w:t xml:space="preserve">I. Повышение качества жизни (мероприятия, направленные на достижение национальных целей развития Российской Федерации на период до 2030 года, определенных Указом Президента Российской Федерации от 7 мая 2024 г. N 309 "О национальных целях развития Российск</w:t>
            </w:r>
            <w:r>
              <w:t xml:space="preserve">ой Федерации на период до 2030 года и на перспективу до 2036 года" (далее - национальные цели развития)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1. Демография и социальная поддержка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региональных программ по повышению рождаемости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укрепление репродуктивного здоровья и сокращение числа абортов; поддержка молодых, студенческих семей; поддержка семей с детьми; поддержка работающих родителей; формирование ценностной основы повыше</w:t>
            </w:r>
            <w:r>
              <w:t xml:space="preserve">ния рождаемости; повышение суммарного коэффициента рождаемости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комплекса мероприятий по стабилизации численности населения и сбалансированности региональных рынков труда с учетом оценки текущего и прогнозируемого дефицита квалифицированных специалистов в отраслях экономики и социальной сферы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стабилизация чи</w:t>
            </w:r>
            <w:r>
              <w:t xml:space="preserve">сленности населения в части: повышения рождаемости, снижения смертности; переселения соотечественников, проживающих за рубежом; взаимодействия работодателей с органами службы занятости населения и органами образования в части оказания содействия работодате</w:t>
            </w:r>
            <w:r>
              <w:t xml:space="preserve">лям в поиске и обучении необходимых квалифицированных специалистов. Удовлетворение кадровых потребностей хозяйствующих субъектов и учреждений социальной сферы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региональные программы по повышению рождаемости, региональные программы по переселению соотечеств</w:t>
            </w:r>
            <w:r>
              <w:t xml:space="preserve">енников, проживающих за рубежом, рекомендации по организации работы по стабилизации численности населения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Минтруд России,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комплекса мероприятий по стабилизации</w:t>
            </w:r>
            <w:r>
              <w:t xml:space="preserve"> численности населения и сбалансированности региональных рынков труда с учетом оценки текущего и прогнозируемого дефицита квалифицированных специалистов в отраслях экономики и социальной сферы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стабилизация численности населения в части снижения смертности,</w:t>
            </w:r>
            <w:r>
              <w:t xml:space="preserve"> переселения соотечественников, проживающих за рубежом;</w:t>
            </w:r>
            <w:r/>
          </w:p>
          <w:p>
            <w:pPr>
              <w:pStyle w:val="4613"/>
            </w:pPr>
            <w:r>
              <w:t xml:space="preserve">реализация региональных программ, направленных на снижение смертности, региональных программ и планов мероприятий в сфере занятости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отчеты о реализации региональных программ по переселению соотечестве</w:t>
            </w:r>
            <w:r>
              <w:t xml:space="preserve">нников, проживающих за рубежом, рекомендации по организации работы по стабилизации численности населения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МВД России,</w:t>
            </w:r>
            <w:r/>
          </w:p>
          <w:p>
            <w:pPr>
              <w:pStyle w:val="4613"/>
            </w:pPr>
            <w:r>
              <w:t xml:space="preserve">Минтруд России,</w:t>
            </w:r>
            <w:r/>
          </w:p>
          <w:p>
            <w:pPr>
              <w:pStyle w:val="4613"/>
            </w:pPr>
            <w:r>
              <w:t xml:space="preserve">Минздрав России,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2(1) 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государственной социальной помощи на основании социального контракта с учетом лучших практик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мероприятий, направленных на снижение уровня бедности граждан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</w:t>
            </w:r>
            <w:r>
              <w:t xml:space="preserve">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региональных программ снижения доли населения с доходами ниже границы бедности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мероприятий, направленных на снижение количества малоимущих граждан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2. Здравоохранение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реализация единого плана по снижению смертности населения и достижению целевого показателя, характеризующего достижение национальной цели развития "Сохранение населения, укрепление здоровья и повышение благополучия людей, поддержка семьи", в С</w:t>
            </w:r>
            <w:r>
              <w:t xml:space="preserve">ибирском федеральном округе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снижение смертности населения, увеличение численности населения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заинтересованные организации,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дальнейшей реализации мероприятий по развитию санитарной авиации в Сибирском федеральном округе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сокращение времени ожидания медицинской помощи, минимизация рисков ухудшения состояния пациента при транспортировке, сокращение смертн</w:t>
            </w:r>
            <w:r>
              <w:t xml:space="preserve">ости населения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Минздрав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инфраструктуры здравоохранения, включая строительство, реконструкцию и создание объектов здравоохранения </w:t>
            </w:r>
            <w:r>
              <w:t xml:space="preserve">путем возведения быстровозводимых модульных конструкций, а также укрепление материально-технической базы объектов здравоохранения, включая проведение капитальных ремонтов и оснащение медицинским оборудованием, в том числе в опорных населенных пунктах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</w:t>
            </w:r>
            <w:r>
              <w:t xml:space="preserve">ение качества и доступности оказания медицинской помощи населению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Минздрав России,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внедрение корпоративных программ укрепления здоровья; создание межведомственного совета по вопросам укрепления общественного здоровья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снижение смертности населения, в том числе в трудоспособном возрасте, увеличение ожидаемой продолжительности </w:t>
            </w:r>
            <w:r>
              <w:t xml:space="preserve">жизни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Внедрение системы менеджмента качества в работу медицинских организаций для повышения эффективности оказания медицинской помощи населению и удовлетворенности населения доступностью и качеством оказания медицинской помощи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доступности и качества ок</w:t>
            </w:r>
            <w:r>
              <w:t xml:space="preserve">азания медицинской помощи, повышение удовлетворенности населения оказанием медицинской помощи, снижение смертности от основных причин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охвата определенных групп взрослого населения профилактическими медицинскими осмотрами и диспансеризацией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доступности первичной ме</w:t>
            </w:r>
            <w:r>
              <w:t xml:space="preserve">дико-санитарной помощи для населения в Российской Федерации, увеличение ожидаемой продолжительности жизни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9(1) введен распоряжением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Расширение сети женских консультаций, в том числе в опорных населенных пунктах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качества и доступности медицинской помощи гражданам, планирующим ребенка, беременным женщинам, детям, укрепление репродуктивного здоровья граждан, увеличение ожидаемой продолжительности жизни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</w:t>
            </w:r>
            <w:r>
              <w:t xml:space="preserve">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9(2)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приемных отделений с современной инфраструктурой для оказания экстренной медицинской помощи пациентам, в том числе в опорных населенных пунктах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ожидаемой продолжительности жизни за счет повышения доступности медицинской помощи, оказывае</w:t>
            </w:r>
            <w:r>
              <w:t xml:space="preserve">мой в экстренной форме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9(3)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</w:t>
            </w:r>
            <w:r>
              <w:t xml:space="preserve">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Внедрение системы поддержки принятия врачебных решений с использованием технологий искусственного интеллекта в работу фельдшеров фельдшерско-акушерских пунктов (помощник фельдшера), создание интеллектуальных модульных фельдшерско-акушерских пунктов для про</w:t>
            </w:r>
            <w:r>
              <w:t xml:space="preserve">хождения диагностического обследования в удаленных и труднодоступных населенных пунктах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функционирование передвижных фельдшерско-акушерских пунктов, прохождение диагностического обследования с помощью датчиков и медицинских измерительных систем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</w:t>
            </w:r>
            <w:r>
              <w:t xml:space="preserve">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Минздрав России,</w:t>
            </w:r>
            <w:r/>
          </w:p>
          <w:p>
            <w:pPr>
              <w:pStyle w:val="4613"/>
            </w:pPr>
            <w:r>
              <w:t xml:space="preserve">Минцифры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9(4)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9(5).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Открытие, дооснащение, обновление материально-технической базы организаций, оказывающих медицинскую реабилитацию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доступности оказания медицинской реабилитации, в том числе для участников специальной военной операции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9(5)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9(6).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Ежегодное проведение профилактических медицинских осмотров, диспансеризации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профилактика и раннее выявление хронических неинфекционных заболеваний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Минздрав России, территориальная программа государственных гарантий бесплатного оказания гражданам м</w:t>
            </w:r>
            <w:r>
              <w:t xml:space="preserve">едицинской помощи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9(6)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3. Жилье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86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</w:t>
            </w:r>
            <w:r>
              <w:t xml:space="preserve"> Правительства РФ от 04.09.2025 N 2448-р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региональных адресных программ субъектов Российской Федерации по переселению граждан из аварийного жилищного фонда с учетом необходимости первоочередного достижения результатов в опорных населенных п</w:t>
            </w:r>
            <w:r>
              <w:t xml:space="preserve">унктах и в муниципальных образованиях, на территориях которых принято решение о комплексном развитии территорий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сокращение доли населения, проживающего в аварийном жилье, до уровня ниже среднероссийского уровня, повышение интенсивности процессов переселени</w:t>
            </w:r>
            <w:r>
              <w:t xml:space="preserve">я граждан из аварийного жилья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пилотных проектов арендного жилья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улучшение жилищных условий населения, обеспечение отдельным жильем молодых семей, обеспечение ценовой доступности жилья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акционерное общество "ДОМ.РФ",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</w:t>
            </w:r>
            <w:r>
              <w:t xml:space="preserve">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Проекты жилищного строительства и инфраструктуры для жилой застройки в г. Барнауле с общей площадью жилья 254 тыс. кв. метров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4 жилищных комплексов на территории г. Барнаула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объектов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</w:t>
            </w:r>
            <w:r>
              <w:t xml:space="preserve">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12(1)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Утверждение и реализация программ ликвидации накопившейся задолженности по обеспечению благоустроенными жилыми помещениями детей-сирот, детей, оставшихся без попечения родителей, лиц из числа детей-сирот и детей, оставшихся без попечения родителей, лиц, ко</w:t>
            </w:r>
            <w:r>
              <w:t xml:space="preserve">торые относились к категории детей-сирот и детей, оставшихся без попечения родителей, и лиц из числа детей-сирот и детей, оставшихся без попечения родителей, которые достигли возраста 23 лет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утверждение региональных программ, направленных на ликвидацию нак</w:t>
            </w:r>
            <w:r>
              <w:t xml:space="preserve">опившейся задолженности по обеспечению жилыми помещениями 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</w:t>
            </w:r>
            <w:r>
              <w:t xml:space="preserve">попечения родителей, и лиц из числа детей-сирот и детей, оставшихся без попечения родителей, которые достигли возраста 23 лет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Минпросвещения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12(2)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4. Жилищно-коммунальное хозяйство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Актуализация региональных программ по модернизации и развитию коммунальной инфраструктуры на 2024 - 2029 годы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ежегодного объема капитального ремонта, модернизации сетей тепло-, водоснабжения и водоотведения до уровня не менее 5 процентов общей п</w:t>
            </w:r>
            <w:r>
              <w:t xml:space="preserve">ротяженности сетей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Минстрой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публично-правовая компания "Фонд развития территорий"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Корректировка инвестиционных программ организаций жилищно-коммунального хозяйства с учетом приоритетного финансирования мероприятий, направленных на обеспечение качественного и надежного предоставления услуг потребителям, а также на снижение производственн</w:t>
            </w:r>
            <w:r>
              <w:t xml:space="preserve">ых расходов, включаемых в тарифы на услуги жилищно-коммунального хозяйства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качества коммунальных услуг, сокращение стоимости услуг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Минстрой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Минстрой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</w:t>
            </w:r>
            <w:r>
              <w:t xml:space="preserve">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86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Перевод системы теплоснабжения г. Байкальска на электроотопление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сокращение выбросов загрязняющих веществ в атмосферный воздух от байкальской теплоэлектростанции. Снижение негативного воздействия на центральную экологическую зону Байкальской природной территории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администрация </w:t>
            </w:r>
            <w:r>
              <w:t xml:space="preserve">г. Байкальска,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Завершение переходного периода ценовой зоны теплоснабжения г. Усолье-Сибирское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инвестиционных проектов по развитию системы теплоснабжения г. Усолье-Сибирское Иркутской области и обеспечению качественного и надежного теплоснабжения потребителей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администрация г. Усолье-Сибирское,</w:t>
            </w:r>
            <w:r/>
          </w:p>
          <w:p>
            <w:pPr>
              <w:pStyle w:val="4613"/>
            </w:pPr>
            <w:r>
              <w:t xml:space="preserve">П</w:t>
            </w:r>
            <w:r>
              <w:t xml:space="preserve">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Красногорского водоподъемного гидроузла на реке Иртыш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обеспеченности населения водными ресурсами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области,</w:t>
            </w:r>
            <w:r/>
          </w:p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Росводресурсы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Поиски подземных вод для обеспечения хозяйственно-питьевого водоснабжения Саргатского муниципального района 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прирост запасов питьевых подземных вод в количестве 1 тыс. куб. метров в сутки по категории C2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</w:t>
            </w:r>
            <w:r>
              <w:t xml:space="preserve">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Роснедра,</w:t>
            </w:r>
            <w:r/>
          </w:p>
          <w:p>
            <w:pPr>
              <w:pStyle w:val="4613"/>
            </w:pPr>
            <w:r>
              <w:t xml:space="preserve">исполнительные органы 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Поисково-оценочные работы на подземные воды для обеспечения питьевого и хозяйственно-бытового водоснабжения р.п. Дорогино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прирост запасов питьевых подземных вод в коли</w:t>
            </w:r>
            <w:r>
              <w:t xml:space="preserve">честве 1,5 тыс. куб. метров в сутки по категориям C1 + C2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Роснедра,</w:t>
            </w:r>
            <w:r/>
          </w:p>
          <w:p>
            <w:pPr>
              <w:pStyle w:val="4613"/>
            </w:pPr>
            <w:r>
              <w:t xml:space="preserve">исполнительные органы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Поисково-оценочные работы на подземные воды для обеспечения питьевого и хозяйственно-бытового водоснабжения пос. Ложок Новосибирского района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прирост запасов питьевых подземных вод в количестве 1 - 1,5 тыс. куб. метров в сутки по катег</w:t>
            </w:r>
            <w:r>
              <w:t xml:space="preserve">ориям C1 + C2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Роснедра,</w:t>
            </w:r>
            <w:r/>
          </w:p>
          <w:p>
            <w:pPr>
              <w:pStyle w:val="4613"/>
            </w:pPr>
            <w:r>
              <w:t xml:space="preserve">исполнительные органы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5. Экология и окружающая среда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экотехнопарка "Западная Сибирь" (г. Северск, Томская область)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переработка 25 тыс. тонн в год отходов I и II классов опасности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Государственная корпорация по атомной энергии "Росатом",</w:t>
            </w:r>
            <w:r/>
          </w:p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А</w:t>
            </w:r>
            <w:r>
              <w:t xml:space="preserve">дминистрация Томской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экотехнопарка "Восток" (г. Усолье-Сибирское Иркутской области)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переработка 37 тыс. тонн в год отходов I и II классов опасности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Государственная корпорация по атомной энергии "Росатом",</w:t>
            </w:r>
            <w:r/>
          </w:p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 по утилизации золошлаковых отходов V класса опасности, утвержденных региональными программами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экономической эффективности использования продуктов сжигания твердого топлива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</w:t>
            </w:r>
            <w:r>
              <w:t xml:space="preserve">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24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Ликвидация накопленных отходов Байкальского целлюлозно-бумажного комбината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ликвидация (сокращение) опасных отходов 6 млн. тонн отходов в картах-накопителях, 230 тыс. тонн черного щелока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Государ</w:t>
            </w:r>
            <w:r>
              <w:t xml:space="preserve">ственная корпорация по атомной энергии "Росатом"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Ликвидация накопленного экологического вреда в результате производства химической продукции в</w:t>
            </w:r>
            <w:r/>
          </w:p>
          <w:p>
            <w:pPr>
              <w:pStyle w:val="4613"/>
            </w:pPr>
            <w:r>
              <w:t xml:space="preserve">г. Усолье-Сибирское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восстановление состояния окружающей среды на площади 1600 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Государственная корпорация по атомной энергии "Росатом"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Инвентаризация объектов, обладающих признаками объектов накопленного вреда окружающей среде, в рамках федерального проекта "Генеральная уборка"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обследование и оценка воздействия не менее 75 объектов, обладающих признаками объектов накопленного вреда окружа</w:t>
            </w:r>
            <w:r>
              <w:t xml:space="preserve">ющей среде, на состояние окружающей среды, здоровье граждан и продолжительность их жизни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отчеты о реализации федерального проекта "Генеральная уборка" за 2023 год и за 2024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Росприроднадзор,</w:t>
            </w:r>
            <w:r/>
          </w:p>
          <w:p>
            <w:pPr>
              <w:pStyle w:val="4613"/>
            </w:pPr>
            <w:r>
              <w:t xml:space="preserve">Роспотребнадзор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и реализация комплексных планов мероприятий по снижению выбросов загрязняющих веществ в атмосферный воздух в городах - участниках федерального проекта "Чистый воздух", в том числе за счет перевода частных домовладений с угольного или дровяного</w:t>
            </w:r>
            <w:r>
              <w:t xml:space="preserve"> отопления на экологичное (в том числе с использованием высокоэффективных твердотопливных котлов с автоматической подачей топлива)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снижение выбросов опасных загрязняющих веществ в городах - участниках федерального проекта "Чистый воздух" на квотируемых объ</w:t>
            </w:r>
            <w:r>
              <w:t xml:space="preserve">ектах, оказывающих негативное воздействие на окружающую среду, в том числе на объектах коммунальной, транспортной, социальной инфраструктур и промышленных предприятий, не менее чем на 20 процентов к 2026 году и не менее чем на 50 процентов к 2036 году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</w:t>
            </w:r>
            <w:r>
              <w:t xml:space="preserve">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Ликвидация несанкционированных свалок в границах городов в Алтайском крае, Кемеровской области - Кузбассе, Новосибирской, Омской, Томской областях в рамках федерального проекта "Чистая страна"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ликвидация 9 несанкционированных свалок в границах городов, рек</w:t>
            </w:r>
            <w:r>
              <w:t xml:space="preserve">ультивация 256,7 га нарушенных земель, улучшение качества жизни для 3181,3 тыс. человек к 2024 году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отчеты о реализации федерального проекта "Чистая страна" за 2023 год и за 2024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Минприроды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объектов инфраструктуры по обращению с твердыми коммунальными отходами в рамках федерального проекта "Экономика замкнутого цикла" национального проекта "Экологическое благополучие"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к 2030 году ввод в эксплуатацию мощностей:</w:t>
            </w:r>
            <w:r/>
          </w:p>
          <w:p>
            <w:pPr>
              <w:pStyle w:val="4613"/>
            </w:pPr>
            <w:r>
              <w:t xml:space="preserve">по обработке твердых ко</w:t>
            </w:r>
            <w:r>
              <w:t xml:space="preserve">ммунальных отходов - 4130,5 тыс. тонн;</w:t>
            </w:r>
            <w:r/>
          </w:p>
          <w:p>
            <w:pPr>
              <w:pStyle w:val="4613"/>
            </w:pPr>
            <w:r>
              <w:t xml:space="preserve">по утилизации и (или) обезвреживанию твердых коммунальных отходов - 1217,7 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Минприроды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публично-правовая компания по формированию комплекс</w:t>
            </w:r>
            <w:r>
              <w:t xml:space="preserve">ной системы обращения с твердыми коммунальными отходами "Российский экологический оператор"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комплексной программы по оснащению частных домовладений, использующих угольное топливо, современными котлоагрегатами с низким уровнем выбросов загрязняющих веществ, на территориях, не вошедших в федеральный проект "Чистый воздух"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сокращение уров</w:t>
            </w:r>
            <w:r>
              <w:t xml:space="preserve">ня загрязнения атмосферного воздуха от частного сектора населенных пунктов, не вошедших в федеральный проект "Чистый воздух"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П</w:t>
            </w:r>
            <w:r>
              <w:t xml:space="preserve">равительство Республики Тыва,</w:t>
            </w:r>
            <w:r/>
          </w:p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совершенствованию и развитию мер по охране озера Байкал по результатам экологического мониторинга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предотвращение загрязнения Байкальской природной территории, регулирование уровня воды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Минприроды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Сибирское отделени</w:t>
            </w:r>
            <w:r>
              <w:t xml:space="preserve">е Российской академии наук,</w:t>
            </w:r>
            <w:r/>
          </w:p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Минприроды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Расчистка водных объектов на территории Республики Алтай, Алтайского края, Томской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количество населения, улучшившего экологические условия проживания вблизи водных объектов, - 0,11 млн. человек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</w:t>
            </w:r>
            <w:r>
              <w:t xml:space="preserve">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Росводресурсы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6. Культура и спорт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Строительство, реконструкция и модернизация учреждений культуры в рамках национального проекта "Семья", в том числе в опорных населенных пунктах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доступности объектов культуры и искусства в большинстве населенных пунктов. Повышение привлекательн</w:t>
            </w:r>
            <w:r>
              <w:t xml:space="preserve">ости проводимых мероприятий за счет применения современных технологий и оборудования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Минкультуры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</w:t>
            </w:r>
            <w:r>
              <w:t xml:space="preserve">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и реализация комплекса мероприятий, проводимых организациями культуры, направленных на сохранение и укрепление традиционных российских духовно-нравственных ценностей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укрепление ценностных основ семьи и брака, воспитание патриотического самосозна</w:t>
            </w:r>
            <w:r>
              <w:t xml:space="preserve">ния, упрочение духовных связей между поколениями, развитие землячеств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Минкультуры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Межрегиональная ассоциация "Сибирское соглашение"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Всероссийского гастрольно-концертного плана в Сибирском федеральном округе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и объединение единого культурного пространства страны, расширяющие рамки творческого взаимодействия театральных коллективов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</w:t>
            </w:r>
            <w:r>
              <w:t xml:space="preserve">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Минкультуры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36(1).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Строительство, реконструкция и капитальный ремонт объектов спортивной инфраструктуры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доступности объектов спортивной инфраструктуры в большинстве населенных пунктов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Минспорт России,</w:t>
            </w:r>
            <w:r/>
          </w:p>
          <w:p>
            <w:pPr>
              <w:pStyle w:val="4613"/>
            </w:pPr>
            <w:r>
              <w:t xml:space="preserve">исполнительные орг</w:t>
            </w:r>
            <w:r>
              <w:t xml:space="preserve">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36(1)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36(2).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на базе общедоступных библиотек, в том числе модельных, точек концентрации талантов "Гений места"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креативных навыков жителей на базе творческих лабораторий, создаваемых в библиотеках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Минкультуры</w:t>
            </w:r>
            <w:r>
              <w:t xml:space="preserve">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36(2)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реализация региональных программ и комплексов мер, направленных на развитие школьного спорта, студенческого спорта, корпоративного спорта, спорта по месту жительства, спорта для граждан старшего поколения, а также межведомственной программы "П</w:t>
            </w:r>
            <w:r>
              <w:t xml:space="preserve">лавание для всех"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доли граждан, систематически занимающихся физической культурой и спортом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Минспорт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адаптивной физической культуры и спорта, в том числе в опорных населенных пунктах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самостоятельных адаптивных учреждений, а также новых учреждений, отделений и секций, организующих работу по адаптивной физической культуре и спорту; вовлече</w:t>
            </w:r>
            <w:r>
              <w:t xml:space="preserve">ние людей, получивших инвалидность, в занятия физической культурой и спортом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Минспорт России,</w:t>
            </w:r>
            <w:r/>
          </w:p>
          <w:p>
            <w:pPr>
              <w:pStyle w:val="4613"/>
            </w:pPr>
            <w:r>
              <w:t xml:space="preserve">общероссийские спортивные федерации по видам спорта инвалидов,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О</w:t>
            </w:r>
            <w:r>
              <w:t xml:space="preserve">бщероссийская общественная организация "Паралимпийский комитет России",</w:t>
            </w:r>
            <w:r/>
          </w:p>
          <w:p>
            <w:pPr>
              <w:pStyle w:val="4613"/>
            </w:pPr>
            <w:r>
              <w:t xml:space="preserve">Государственный фонд поддержки участников специальной военной операции "Защитники Отечества"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и популяризация новых инновационных видов спорта, сочетающих цифровые технологии и физическую активность (гонки дронов (беспилотных воздушных судов), спортивное программирование, лазерный бой и прочее</w:t>
            </w:r>
            <w:r>
              <w:t xml:space="preserve">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региональных отделений общероссийских федераций по инновационным видам спорта (гонки дронов (беспилотных воздушных судов), спортивное программирование, лазерный бой и прочее)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Минспорт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</w:t>
            </w:r>
            <w:r>
              <w:t xml:space="preserve">дерации,</w:t>
            </w:r>
            <w:r/>
          </w:p>
          <w:p>
            <w:pPr>
              <w:pStyle w:val="4613"/>
            </w:pPr>
            <w:r>
              <w:t xml:space="preserve">общероссийские спортивные федерации,</w:t>
            </w:r>
            <w:r/>
          </w:p>
          <w:p>
            <w:pPr>
              <w:pStyle w:val="4613"/>
            </w:pPr>
            <w:r>
              <w:t xml:space="preserve">Минспорт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Организация и проведение "Спартакиады народов Сибири"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доли граждан, систематически занимающихся физической культурой и спортом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Межрегиональная ассоциация "Сибирское соглашение"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год,</w:t>
            </w:r>
            <w:r>
              <w:t xml:space="preserve"> далее - 1 раз в 2 года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комплекса мер, направленных на развитие системы выявления, поддержки и развития молодых талантов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эффективной системы выявления, поддержки и развития способностей всех детей и молодежи независимо от места жительства, социального положени</w:t>
            </w:r>
            <w:r>
              <w:t xml:space="preserve">я и финансовых возможностей семьи, основанной на принципах ответственности, справедливости, всеобщности и направленной на самоопределение и профессиональную ориентацию 100 процентов обучающихся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Минпросвещения России, региональные программы развити</w:t>
            </w:r>
            <w:r>
              <w:t xml:space="preserve">я системы выявления, поддержки и развития молодых талантов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Минпросвещения России,</w:t>
            </w:r>
            <w:r/>
          </w:p>
          <w:p>
            <w:pPr>
              <w:pStyle w:val="4613"/>
            </w:pPr>
            <w:r>
              <w:t xml:space="preserve">Минобрнауки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40(1) введен распоряжением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7. Молодежная политика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</w:pPr>
            <w:r/>
            <w:r/>
          </w:p>
          <w:p>
            <w:pPr>
              <w:pStyle w:val="4613"/>
              <w:jc w:val="center"/>
            </w:pPr>
            <w:r>
              <w:t xml:space="preserve">(введен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Расширение инфраструктуры молодежной политики в Сибирском федеральном округе (в том числе в рамках участия в программе комплексного развития молодежной политики в субъектах Российской Федерации "Регион для молодых", во Всероссийском конкурсе лучших региона</w:t>
            </w:r>
            <w:r>
              <w:t xml:space="preserve">льных практик поддержки добровольчества (волонтерства) "Регион добрых дел")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доли молодых людей, вовлеченных в проекты и программы, направленные на профессиональное, личностное развитие и патриотическое воспитание;</w:t>
            </w:r>
            <w:r/>
          </w:p>
          <w:p>
            <w:pPr>
              <w:pStyle w:val="4613"/>
            </w:pPr>
            <w:r>
              <w:t xml:space="preserve">устойчивое развитие добровольче</w:t>
            </w:r>
            <w:r>
              <w:t xml:space="preserve">ских инициатив в субъектах Российской Федерации;</w:t>
            </w:r>
            <w:r/>
          </w:p>
          <w:p>
            <w:pPr>
              <w:pStyle w:val="4613"/>
            </w:pPr>
            <w:r>
              <w:t xml:space="preserve">увеличение числа учреждений молодежной политики (молодежных центров) в субъектах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Росмолодежь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регионального координационного совета по молодежной политике в субъектах Российской Федерации, входящих в состав Сибирского федерального округа, при высшем должностном лице субъекта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доли молодых людей, верящи</w:t>
            </w:r>
            <w:r>
              <w:t xml:space="preserve">х в возможности самореализации 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8. Укрепление правопорядка и противодействие преступности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</w:pPr>
            <w:r/>
            <w:r/>
          </w:p>
          <w:p>
            <w:pPr>
              <w:pStyle w:val="4613"/>
              <w:jc w:val="center"/>
            </w:pPr>
            <w:r>
              <w:t xml:space="preserve">(введен </w:t>
            </w:r>
            <w:r>
              <w:t xml:space="preserve">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 по предоставлению народным дружинам и иным объединениям правоохранительной направленности помещений на территории Сибирского федерального округа, технических и иных матер</w:t>
            </w:r>
            <w:r>
              <w:t xml:space="preserve">иальных средств, необходимых для осуществления их деятельности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укрепление и совершенствование деятельности народных дружин и иных объединений правоохранительной направленности в области обеспечения охраны общественного порядка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МВД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</w:t>
            </w:r>
            <w:r>
              <w:t xml:space="preserve">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40(5).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установки видеокамер правоохранительного сегмента аппаратно-программного комплекса "Безопасный город" в общественных местах, в том числе на улицах городов Сибирского федерального округа, согласно заявкам территориальных органов МВД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преду</w:t>
            </w:r>
            <w:r>
              <w:t xml:space="preserve">преждение различных угроз общественной безопасности, правопорядку и безопасной среде обитания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МЧС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МЧС России,</w:t>
            </w:r>
            <w:r/>
          </w:p>
          <w:p>
            <w:pPr>
              <w:pStyle w:val="4613"/>
            </w:pPr>
            <w:r>
              <w:t xml:space="preserve">территориальные органы МВД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40(6).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 по</w:t>
            </w:r>
            <w:r>
              <w:t xml:space="preserve"> расширению (созданию) в Сибирском федеральном округе сети центров реабилитации и адаптации в целях оказания комплексной социальной помощи лицам, освобожденным из пенитенциарных учреждений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предупреждение новых общественно опасных деяний и снижение уровня п</w:t>
            </w:r>
            <w:r>
              <w:t xml:space="preserve">овторной преступности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территориальные органы ФСИН России в Сибирском федеральном округе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40(7).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приоритетности интересов российских граждан, постоянно проживающих на территории Российской Федерации, а также недопущение возникновения пространственной сегрегации и этнических анклавов, маргинализации находящихся на территории Российской Феде</w:t>
            </w:r>
            <w:r>
              <w:t xml:space="preserve">рации иностранных граждан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недопущение возникновения пространственной сегрегации и этнических анклавов, маргинализации находящихся на территории Российской Федерации иностранных граждан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МВД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</w:t>
            </w:r>
            <w:r>
              <w:t xml:space="preserve">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40(8).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 по расширению (созданию) сети участковых пунктов полиции и их надлежащему материально-техническому обеспечению в Сибирском федеральном округе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оптимального количества служебных помещений органов внутренних дел для работы </w:t>
            </w:r>
            <w:r>
              <w:t xml:space="preserve">участковых уполномоченных полиции, а также ремонт и оснащение имеющихся участковых пунктов полиции в соответствии с предъявляемыми требованиями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МВД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территориальные органы МВД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</w:t>
            </w:r>
            <w:r>
              <w:t xml:space="preserve">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40(9).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 по организации досуговой занятости несовершеннолетних, созданию условий для вовлечения их в систематические занятия физической культурой и спортом, а также по проведению профильных смен в организациях о</w:t>
            </w:r>
            <w:r>
              <w:t xml:space="preserve">тдыха для детей, состоящих на учете в органах и учреждениях системы профилактики безнадзорности и правонарушений несовершеннолетних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снижение числа правонарушений в среде несовершеннолетних, повышение эффективности профилактики противоправных деяний среди м</w:t>
            </w:r>
            <w:r>
              <w:t xml:space="preserve">олодежи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Минпросвещения России,</w:t>
            </w:r>
            <w:r/>
          </w:p>
          <w:p>
            <w:pPr>
              <w:pStyle w:val="4613"/>
            </w:pPr>
            <w:r>
              <w:t xml:space="preserve">Минспорт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1"/>
            </w:pPr>
            <w:r>
              <w:t xml:space="preserve">II. Развитие науки и образования, кадровое обеспечение</w:t>
            </w:r>
            <w:r/>
          </w:p>
          <w:p>
            <w:pPr>
              <w:pStyle w:val="4613"/>
              <w:jc w:val="center"/>
            </w:pPr>
            <w:r>
              <w:t xml:space="preserve">(мероприятия, направленные на достижение национальных целей развития)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1. Наука и инновации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новой редакции комплексного плана развития Сибирского отделения Российской академии наук до 2035 года с учетом приоритетов и долгосрочных планов развития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расширение научно-исследовательской и научно-производственно</w:t>
            </w:r>
            <w:r>
              <w:t xml:space="preserve">й деятельности в интересах развития экономики и социальной сферы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постановление Президиума Российской академии наук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федеральное государственное бюджетное учреждение "Российская академия наук",</w:t>
            </w:r>
            <w:r/>
          </w:p>
          <w:p>
            <w:pPr>
              <w:pStyle w:val="4613"/>
            </w:pPr>
            <w:r>
              <w:t xml:space="preserve">Сибирское отделение Российской академии наук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vMerge w:val="restart"/>
            <w:textDirection w:val="lrTb"/>
            <w:noWrap w:val="false"/>
          </w:tcPr>
          <w:p>
            <w:pPr>
              <w:pStyle w:val="4613"/>
            </w:pPr>
            <w:r>
              <w:t xml:space="preserve">Создание инновационной образовательной среды (кампусов)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vMerge w:val="restart"/>
            <w:textDirection w:val="lrTb"/>
            <w:noWrap w:val="false"/>
          </w:tcPr>
          <w:p>
            <w:pPr>
              <w:pStyle w:val="4613"/>
            </w:pPr>
            <w:r>
              <w:t xml:space="preserve">ввод в эксплуатацию кампусов в г. Томске и г. Новосибирске.</w:t>
            </w:r>
            <w:r/>
          </w:p>
          <w:p>
            <w:pPr>
              <w:pStyle w:val="4613"/>
            </w:pPr>
            <w:r>
              <w:t xml:space="preserve">Подача заявок проектов кампусов в г. Иркутске, г. Горно-Алтайске, г. Кемерово, г. Омске в целях участия в процедуре отбора проектов по созданию кампусов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vMerge w:val="restart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Merge w:val="restart"/>
            <w:textDirection w:val="lrTb"/>
            <w:noWrap w:val="false"/>
          </w:tcPr>
          <w:p>
            <w:pPr>
              <w:pStyle w:val="4613"/>
            </w:pPr>
            <w:r>
              <w:t xml:space="preserve">Минобрнауки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Федерации, на территориях которых создаются кампусы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vAlign w:val="center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vMerge w:val="restart"/>
            <w:textDirection w:val="lrTb"/>
            <w:noWrap w:val="false"/>
          </w:tcPr>
          <w:p>
            <w:pPr>
              <w:pStyle w:val="4613"/>
            </w:pPr>
            <w:r>
              <w:t xml:space="preserve">Создание передовой научно-исследовательской инфраструктуры в рамках федерального проекта "Создание крупных объектов инфраструктуры науки и высшего образования"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ввод в эксплуатацию Центра коллективного пользования "Сибирский кольцевой источник фотонов"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</w:t>
            </w:r>
            <w:r>
              <w:t xml:space="preserve">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Минобрнауки России,</w:t>
            </w:r>
            <w:r/>
          </w:p>
          <w:p>
            <w:pPr>
              <w:pStyle w:val="4613"/>
            </w:pPr>
            <w:r>
              <w:t xml:space="preserve">Государственная корпорация по атомной энергии "Росатом"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ввод в эксплуатацию Национального гелиогеофизического комплекса Российской академии наук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комплексной научно-технической программы полного инновационного цикла "Чистый уголь - зеленый Кузбасс"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промышленной безопасности, биоремедиации, создание новых продуктов глубокой переработки из угольного сырья при последовательном сн</w:t>
            </w:r>
            <w:r>
              <w:t xml:space="preserve">ижении нагрузки на окружающую среду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Правительство Кемеровской области - Кузбасса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комплексной научно-технической программы "Нефтехимический кластер"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экологически безопасных промышленных производств базовых высокотехнологических химических продуктов для автомобильной, строительной, медицинской и пищевой промышленности</w:t>
            </w:r>
            <w:r>
              <w:t xml:space="preserve"> из углеводородного сырья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Правительство 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опытно-демонстрационного центра по переработке отработавшего ядерного топлива на основе инновационных технологий в г. Железногорске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переработка до 255 тонн в год отработавшего ядерного топлива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</w:t>
            </w:r>
            <w:r>
              <w:t xml:space="preserve">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Государственная корпорация по атомной энергии "Росатом",</w:t>
            </w:r>
            <w:r/>
          </w:p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исследовательского жидкосолевого реактора в г. Железногорске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отработка технологии утилизации долгоживущих радиоактивн</w:t>
            </w:r>
            <w:r>
              <w:t xml:space="preserve">ых отходов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Государственная корпорация по атомной энергии "Росатом",</w:t>
            </w:r>
            <w:r/>
          </w:p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федерального центра химии в г. Усолье-Сибирское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новых высокотехнологичных производств малотоннажной и среднетоннажной химии. Привлечение 570 млрд. рублей внебюджетных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</w:t>
            </w:r>
            <w:r>
              <w:t xml:space="preserve">ии,</w:t>
            </w:r>
            <w:r/>
          </w:p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организациями,</w:t>
            </w:r>
            <w:r/>
          </w:p>
          <w:p>
            <w:pPr>
              <w:pStyle w:val="4613"/>
            </w:pPr>
            <w:r>
              <w:t xml:space="preserve">Минобрнауки России,</w:t>
            </w:r>
            <w:r/>
          </w:p>
          <w:p>
            <w:pPr>
              <w:pStyle w:val="4613"/>
            </w:pPr>
            <w:r>
              <w:t xml:space="preserve">Государственная корпорация по атомной энергии "Росатом"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(развитие) индустриальных (промышленных) парков на территории Красноярского края, в том числе в рамках реализации проекта по созданию Ангаро-Енисейского кластера цветных, редких и редкоземельных ме</w:t>
            </w:r>
            <w:r>
              <w:t xml:space="preserve">таллов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субъектам малого и среднего предпринимательства льготного доступа к производственным площадям и помещениям индустриальных (промышленных) парков в целях создания (развития) производственных и инновационных компаний; технологическое сопров</w:t>
            </w:r>
            <w:r>
              <w:t xml:space="preserve">ождение проекта по созданию Ангаро-Енисейского кластера цветных, редких и редкоземельных металлов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48(1)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 развитие индустриального парка "Ташеба"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благоприятных условий для развития обрабатывающих отраслей экономики, высокотехнологичных отраслей экономики, разработки технологий и коммерциализации их результатов, производства новых видов продукции для субъектов малого и среднего предпринимате</w:t>
            </w:r>
            <w:r>
              <w:t xml:space="preserve">льства, привлечение новых резидентов, создание новых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Минпромторг России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2032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48(2) введен распоряжением Правительс</w:t>
            </w:r>
            <w:r>
              <w:t xml:space="preserve">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 (или) развитие индустриальных (промышленных) парков, промышленных технопарков и технопарков в сфере высоких технологий на территории Республики Хакасия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субъектам малого и среднего предпринимательства льготного доступа к производствен</w:t>
            </w:r>
            <w:r>
              <w:t xml:space="preserve">ным площадям и помещениям индустриальных (промышленных) парков в целях создания (развития) производственных и инновационных компаний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</w:t>
            </w:r>
            <w:r>
              <w:t xml:space="preserve">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48(3)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Акселерация малых технологических компаний - интенсивная программа развития технологических стартапов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количества малых технологических компаний - резидентов бизнес-инкубаторов, технопарков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</w:t>
            </w:r>
            <w:r>
              <w:t xml:space="preserve">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48(4)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48(5).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индустриальных парков, промышленных технопарков и технопарков в сфере высоких технологий, нацеленных на технологическое обеспечение проекта "Создание федерального центра химии в г. Усолье-Сибирское" (Иркутская область)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устранение диспропорций в ра</w:t>
            </w:r>
            <w:r>
              <w:t xml:space="preserve">спределении индустриальных парков, промышленных технопарков, технопарков в сфере высоких технологий по федеральным округам;</w:t>
            </w:r>
            <w:r/>
          </w:p>
          <w:p>
            <w:pPr>
              <w:pStyle w:val="4613"/>
            </w:pPr>
            <w:r>
              <w:t xml:space="preserve">инфраструктурная и технологическая поддержка проекта "Создание федерального центра химии в г. Усолье-Сибирское"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</w:t>
            </w:r>
            <w:r>
              <w:t xml:space="preserve">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федеральное государственное бюджетное учреждение "Сибирское отделение Российской академии наук"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48(5) введен распоряжением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48(6).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индустриальных парков, промышленных технопарков и технопарков в сфере высоких технологий, нацеленных на промышленное применение результатов интеллектуальной деятельности, полученных в Центре коллективного пользования "Сибирский кольцевой источник </w:t>
            </w:r>
            <w:r>
              <w:t xml:space="preserve">фотонов"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устранение диспропорций в распределении индустриальных парков, промышленных технопарков, технопарков в сфере высоких технологий по федеральным округам;</w:t>
            </w:r>
            <w:r/>
          </w:p>
          <w:p>
            <w:pPr>
              <w:pStyle w:val="4613"/>
            </w:pPr>
            <w:r>
              <w:t xml:space="preserve">инфраструктурная и технологическая поддержка проекта создания Центра коллективного пользования </w:t>
            </w:r>
            <w:r>
              <w:t xml:space="preserve">"Сибирский кольцевой источник фотонов"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области,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федеральное государственное бюджетное учреждение "Сибирское отделение Российской академии наук"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48(6)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2. Образование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 развитие Сибирского научно-образовательного кластера на базе научных, исследовательских, образовательных организаций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территориальная интеграция и объединение образовательных, научных и производственных организаций на основе выработки общей страт</w:t>
            </w:r>
            <w:r>
              <w:t xml:space="preserve">егии развития технологий и подготовки высококвалифицированных кадров по приоритетным направлениям для обеспечения технологического суверенитета страны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программа развития кластера до 2035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представит</w:t>
            </w:r>
            <w:r>
              <w:t xml:space="preserve">ели организаций реального сектора экономики,</w:t>
            </w:r>
            <w:r/>
          </w:p>
          <w:p>
            <w:pPr>
              <w:pStyle w:val="4613"/>
            </w:pPr>
            <w:r>
              <w:t xml:space="preserve">Минобрнауки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федеральное Государственное бюджетное учреждение "Российская академия наук"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"Реализация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"Активные меры содействия занятости" национального проекта "Кадры"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занят</w:t>
            </w:r>
            <w:r>
              <w:t xml:space="preserve">ости 80 процентов граждан, прошедших профессиональное обучение или получивших дополнительное профессиональное образование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50 в ред.</w:t>
            </w:r>
            <w:r>
              <w:t xml:space="preserve">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Организация работы по увеличению количества заключаемых организациями культуры договоров на целевое обучение по образовательным программам высшего образования и среднего профессионального образования в области искусств с федеральными образовательными орган</w:t>
            </w:r>
            <w:r>
              <w:t xml:space="preserve">изациями высшего образования и профессиональными образовательными организациями, расположенными в округе, а также с филиалами творческих образовательных организаций высшего образования, в том числе в опорных населенных пунктах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расширение возможностей получ</w:t>
            </w:r>
            <w:r>
              <w:t xml:space="preserve">ения высшего и среднего профессионального образования в области искусств для талантливой молодежи, закрепление населения на территории субъектов Российской Федерации, входящих в состав Сибирского федерального округа, путем трудоустройства в учреждения куль</w:t>
            </w:r>
            <w:r>
              <w:t xml:space="preserve">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51(1).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Строительство, реконструкция и капитальный ремонт образовательных организаций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доступности и качества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Минпросвещения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51(1) введен рас</w:t>
            </w:r>
            <w:r>
              <w:t xml:space="preserve">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3. Кадровое обеспечение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реализация программ среднего профессионального образования по приоритетным и востребованным специальностям, а также региональных программ профориентационной работы по востребованным профессиям, в том числе с учетом прогнозируемой кадровой потр</w:t>
            </w:r>
            <w:r>
              <w:t xml:space="preserve">ебности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соответствие структуры и объема подготовки кадров по программам среднего профессионального образования перспективной кадровой потребности экономики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Минпросвещения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Минпросвещения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 по маршрутизации и содействию в трудоустройстве на предприятия выпускников образовательных организаций среднего профессионального и высшего образования, в том числе на базе центров карьеры образовательных организаций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уровня занято</w:t>
            </w:r>
            <w:r>
              <w:t xml:space="preserve">сти выпускников среднего профессионального и высшего образования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Минпросвещения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Минпросвещения России,</w:t>
            </w:r>
            <w:r/>
          </w:p>
          <w:p>
            <w:pPr>
              <w:pStyle w:val="4613"/>
            </w:pPr>
            <w:r>
              <w:t xml:space="preserve">Минобрнауки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53 в ред. распоряжения Правитель</w:t>
            </w:r>
            <w:r>
              <w:t xml:space="preserve">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Организация содействия работодателям в заполнении потребности в работниках при реализации инвестиционных проектов на территории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кадровой обеспеченности инвестиционных проектов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</w:t>
            </w:r>
            <w:r>
              <w:t xml:space="preserve">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Минтруд России,</w:t>
            </w:r>
            <w:r/>
          </w:p>
          <w:p>
            <w:pPr>
              <w:pStyle w:val="4613"/>
            </w:pPr>
            <w:r>
              <w:t xml:space="preserve">Роструд,</w:t>
            </w:r>
            <w:r/>
          </w:p>
          <w:p>
            <w:pPr>
              <w:pStyle w:val="4613"/>
            </w:pPr>
            <w:r>
              <w:t xml:space="preserve">Минобрнауки России,</w:t>
            </w:r>
            <w:r/>
          </w:p>
          <w:p>
            <w:pPr>
              <w:pStyle w:val="4613"/>
            </w:pPr>
            <w:r>
              <w:t xml:space="preserve">Минпросвещения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55.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86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Участие в мероприятиях Всероссийского чемпионатного движения по профессиональному мастерству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значимости и престижа рабочих профессий, обеспечение профессионального роста молодежи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</w:t>
            </w:r>
            <w:r>
              <w:t xml:space="preserve">убъектов Российской Федерации,</w:t>
            </w:r>
            <w:r/>
          </w:p>
          <w:p>
            <w:pPr>
              <w:pStyle w:val="4613"/>
            </w:pPr>
            <w:r>
              <w:t xml:space="preserve">Минпросвещения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реализация региональных комплексных мер, направленных на развитие творческих (креативных) индустрий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расширение возможностей творческой самореализации для населения, формировани</w:t>
            </w:r>
            <w:r>
              <w:t xml:space="preserve">е креативного предпринимательского сообщества, развитие новых сервисов и продуктов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Федерации, 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Межрегиональная ассоциация "Сибирское соглашение"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Трудоустройство выпускников федеральных высших учебных заведений в сфере культуры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возможности трудоустройства выпускников федеральных высших учебных заведений в сфере культуры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</w:t>
            </w:r>
            <w:r>
              <w:t xml:space="preserve">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58(1).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Проведение профориентационных мероприятий в сфере информационных технологий (хакатоны, конкурсы, фестивали в сфере информационных технологий и другие мероприятия)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нового поколения специалистов в сфере информационных технологий и специалистов сме</w:t>
            </w:r>
            <w:r>
              <w:t xml:space="preserve">жных областей с информационными технологиями; популяризация профессий в сфере информационных технологий, привлечение внимания к возможностям и перспективам работы в сфере информационных технологий; выявление одаренных детей и молодежи; стимулирование разви</w:t>
            </w:r>
            <w:r>
              <w:t xml:space="preserve">тия творческих способностей участников мероприятий; развитие профессионального сообщества в сфере информационных технологий; содействие в трудоустройстве и формировании портфолио начинающих специалистов в сфере информационных технологий и специалистов в см</w:t>
            </w:r>
            <w:r>
              <w:t xml:space="preserve">ежных сферах с информационными технологиями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58(1)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1"/>
            </w:pPr>
            <w:r>
              <w:t xml:space="preserve">III. Инфраструктурное развитие (мероприятия, направленные на достижение национальных целей развития)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1. Аэропорты и воздушные пункты пропуска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Приведение аэропортового комплекса г. Горно-А</w:t>
            </w:r>
            <w:r>
              <w:t xml:space="preserve">лтайска Республики Алтай в соответствие с установленными требованиями для международных полетов и установление в нем воздушного пункта пропуска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аэропорта до 0,8 млн. пассажиров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распоряжение Правительства Российской Ф</w:t>
            </w:r>
            <w:r>
              <w:t xml:space="preserve">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Алтай,</w:t>
            </w:r>
            <w:r/>
          </w:p>
          <w:p>
            <w:pPr>
              <w:pStyle w:val="4613"/>
            </w:pPr>
            <w:r>
              <w:t xml:space="preserve">акционерное общество "Аэропорт Горно-Алтайск",</w:t>
            </w:r>
            <w:r/>
          </w:p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аэропортового комплекса (г. Красноярск) с реализацией объекта "Сооружения - перроны ВС и площадка перронной механизации. Реконструкция перрона в аэропорту Красноярск (Емельяново), 2-й этап"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расширение площади перрона до 254,5 тыс. кв. метров,</w:t>
            </w:r>
            <w:r>
              <w:t xml:space="preserve"> увеличение количества мест стоянок воздушных судов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Росавиация, 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взлетно-посадочной полосы в международном аэропорту</w:t>
            </w:r>
            <w:r/>
          </w:p>
          <w:p>
            <w:pPr>
              <w:pStyle w:val="4613"/>
            </w:pPr>
            <w:r>
              <w:t xml:space="preserve">г. Красноярска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работы аэропорта, сохранение перечня принимаемых типов воздушных судов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Росавиация, 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</w:t>
            </w:r>
            <w:r>
              <w:t xml:space="preserve">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Капитальный ремонт аэропортового комплекса г. Усть-Кута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аэропорта г. Усть-Кута до 0,2 млн. пассажиров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</w:t>
            </w:r>
            <w:r>
              <w:t xml:space="preserve">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аэропортового комплекса г. Братска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аэропорта г. Братска до 0,3 млн. пассажиров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аэродрома аэропорта Киренск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аэродромной инфраструктуры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64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аэропортового комплекса Бодайбо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аэропорта до 0,2 млн. пассажиров в год и грузопотока до 449 тонн в год до 2030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Росавиация, Минтранс России, Пра</w:t>
            </w:r>
            <w:r>
              <w:t xml:space="preserve">вительство Иркутской области"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аэропортового комплекса "Иркутск-Новый "Ключевая"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безопасности полетов и территории г. Иркутска, увеличение пропускной способности аэропорта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Росавиация,</w:t>
            </w:r>
            <w:r/>
          </w:p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ак</w:t>
            </w:r>
            <w:r>
              <w:t xml:space="preserve">ционерное общество "Международный аэропорт Иркутск"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66(1).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Капитальный ремонт аэродромной инфраструктуры, с. Ербогачен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аэропорта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 Росавиация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66(1) введен </w:t>
            </w:r>
            <w:r>
              <w:t xml:space="preserve">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66(2).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Капитальный ремонт объектов инфраструктуры аэродрома г. Усть-Илимска Иркутской области, а также модернизация соответствующей инфраструктуры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транспортной доступности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Росавиация,</w:t>
            </w:r>
            <w:r/>
          </w:p>
          <w:p>
            <w:pPr>
              <w:pStyle w:val="4613"/>
            </w:pPr>
            <w:r>
              <w:t xml:space="preserve">федеральное государственное унитарное предприятие "Государственная корпорация по организации воздушного движения в Российской Федерации",</w:t>
            </w:r>
            <w:r/>
          </w:p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областное государственное унитарное предприятие "Аэропорт Усть-Илимск"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</w:t>
            </w:r>
            <w:r>
              <w:t xml:space="preserve">66(2)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Доведение посадочной площадки до статуса аэропорта в г. Усть-Илимске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прием воздушных судов с пассажировместимостью более 20 кресел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сертификаты соответствия аэродрома, оператора аэродрома, авиационной безопасности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Росавиация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взлетно-посадочной полосы г. Новокузнецка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аэропорта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аэропорта Тайшет (Шелехово) на территории Тайшетского района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улучшение транспортной доступности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объединенная компания "РУСАЛ",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</w:t>
            </w:r>
            <w:r>
              <w:t xml:space="preserve">осавиация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аэропортового комплекса "Богашево" Томской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аэродромной инфраструктуры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федеральное казенное учреждение "Ространсмодернизация",</w:t>
            </w:r>
            <w:r/>
          </w:p>
          <w:p>
            <w:pPr>
              <w:pStyle w:val="4613"/>
            </w:pPr>
            <w:r>
              <w:t xml:space="preserve">Администрация Томской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аэродромного комплекса аэропорта г. Кемерово, I этап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аэродромной инфраструктуры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71 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нового аэровокзального комплекса Международного аэропорта Новокузнецк имени Б.В. Волынова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терминала аэропорта до 5,5 млн. пассажиров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внесение изменений в распоряжение Правительства Российской Федерации от 30 сентября 2018 г. N 2101-р, распоряжение Правительства Российской Федерации от 7 февраля 2023 г. N </w:t>
            </w:r>
            <w:r>
              <w:t xml:space="preserve">267-р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Росавиация,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"АЭРОКУЗБАСС",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"Терминал Новокузнецк"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объектов аэропортовой инфраструк</w:t>
            </w:r>
            <w:r>
              <w:t xml:space="preserve">туры г. Омска (Федоровка)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терминала аэропорта до 3 млн. пассажиров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Росавиация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вопроса реконструкции аэропортового комплекса аэропорта г. Барнаула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взлетно-посадочной полосы и объектов аэродромной инфраструктуры, увеличение пропускной способности терминала аэропорта до 1 млн. пассажиров в год, увеличение грузо</w:t>
            </w:r>
            <w:r>
              <w:t xml:space="preserve">потока до 3500 тонн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ФСБ России,</w:t>
            </w:r>
            <w:r/>
          </w:p>
          <w:p>
            <w:pPr>
              <w:pStyle w:val="4613"/>
            </w:pPr>
            <w:r>
              <w:t xml:space="preserve">ФТС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вопроса создания транспортно-логистического мультимодального комплекса аэропорта Абакан со строительством нового здания автовокзала и технического перевооружения аэропорта акционерного общества "Аэропорт Абакан"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</w:t>
            </w:r>
            <w:r>
              <w:t xml:space="preserve"> аэропорта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включению воздушного пункта пропуска через государственную границу Российской Федерации в международном аэропор</w:t>
            </w:r>
            <w:r>
              <w:t xml:space="preserve">ту г. Барнаула в перечень приоритетных пунктов пропуска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пункта пропуска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</w:t>
            </w:r>
            <w:r/>
          </w:p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аэропортового комплекса международного аэропорта г. Новосибирск (Толмачево)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ввод в эксплуатацию объекта капитального строительства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Росавиация,</w:t>
            </w:r>
            <w:r/>
          </w:p>
          <w:p>
            <w:pPr>
              <w:pStyle w:val="4613"/>
            </w:pPr>
            <w:r>
              <w:t xml:space="preserve">федеральное казенное учреждение "Ространсмодерни</w:t>
            </w:r>
            <w:r>
              <w:t xml:space="preserve">зация"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Техническое оснащение воздушного пункта пропуска через государственную границу Российской Федерации в международном аэропорту г. Новосибирска (Толмачево)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пункта пропуска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</w:t>
            </w:r>
            <w:r/>
          </w:p>
          <w:p>
            <w:pPr>
              <w:pStyle w:val="4613"/>
            </w:pPr>
            <w:r>
              <w:t xml:space="preserve">Минтранса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Правительст</w:t>
            </w:r>
            <w:r>
              <w:t xml:space="preserve">во Новосибирской области,</w:t>
            </w:r>
            <w:r/>
          </w:p>
          <w:p>
            <w:pPr>
              <w:pStyle w:val="4613"/>
            </w:pPr>
            <w:r>
              <w:t xml:space="preserve">федеральное государственное казенное учреждение "Дирекция по строительству и эксплуатации объектов Росграницы",</w:t>
            </w:r>
            <w:r/>
          </w:p>
          <w:p>
            <w:pPr>
              <w:pStyle w:val="4613"/>
            </w:pPr>
            <w:r>
              <w:t xml:space="preserve">ФТС России,</w:t>
            </w:r>
            <w:r/>
          </w:p>
          <w:p>
            <w:pPr>
              <w:pStyle w:val="4613"/>
            </w:pPr>
            <w:r>
              <w:t xml:space="preserve">Россельхознадзор,</w:t>
            </w:r>
            <w:r/>
          </w:p>
          <w:p>
            <w:pPr>
              <w:pStyle w:val="4613"/>
            </w:pPr>
            <w:r>
              <w:t xml:space="preserve">Роспотребнадзор,</w:t>
            </w:r>
            <w:r/>
          </w:p>
          <w:p>
            <w:pPr>
              <w:pStyle w:val="4613"/>
            </w:pPr>
            <w:r>
              <w:t xml:space="preserve">ФСБ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Техническое перевооружение воздушного пункта пропуска через государственную границу Российской Федерации в международном аэропорту г. Кызыл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пункта пропуска до 100 пассажиров в час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</w:t>
            </w:r>
            <w:r/>
          </w:p>
          <w:p>
            <w:pPr>
              <w:pStyle w:val="4613"/>
            </w:pPr>
            <w:r>
              <w:t xml:space="preserve">Минтранса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</w:t>
            </w:r>
            <w:r>
              <w:t xml:space="preserve">едеральное государственное казенное учреждение "Дирекция по строительству и эксплуатации объектов Росграницы",</w:t>
            </w:r>
            <w:r/>
          </w:p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ФТС России,</w:t>
            </w:r>
            <w:r/>
          </w:p>
          <w:p>
            <w:pPr>
              <w:pStyle w:val="4613"/>
            </w:pPr>
            <w:r>
              <w:t xml:space="preserve">Россельхознадзор,</w:t>
            </w:r>
            <w:r/>
          </w:p>
          <w:p>
            <w:pPr>
              <w:pStyle w:val="4613"/>
            </w:pPr>
            <w:r>
              <w:t xml:space="preserve">Роспотребнадзор,</w:t>
            </w:r>
            <w:r/>
          </w:p>
          <w:p>
            <w:pPr>
              <w:pStyle w:val="4613"/>
            </w:pPr>
            <w:r>
              <w:t xml:space="preserve">ФСБ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79(1).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аэродрома аэропорта Горно-Алтайск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авиационной мобильности населения и доступность Республики Алтай для посещения иностранными туристами, обеспечение устойчивой транспортной связи региона с перспективными центрами экономического рост</w:t>
            </w:r>
            <w:r>
              <w:t xml:space="preserve">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Росавиация,</w:t>
            </w:r>
            <w:r/>
          </w:p>
          <w:p>
            <w:pPr>
              <w:pStyle w:val="4613"/>
            </w:pPr>
            <w:r>
              <w:t xml:space="preserve">Правительство Республики Алтай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79(1)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79(2).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Анализ состояния аэропорта Диксон Красноярского края и подготовка предложений по необходимым мероприятиям, срокам их реализации и источникам финансирования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связь материковой части Красноярского края с городским поселением Диксон, включенным в перечень опор</w:t>
            </w:r>
            <w:r>
              <w:t xml:space="preserve">ных населенных пунктов Арктической зоны Российской Федерации;</w:t>
            </w:r>
            <w:r/>
          </w:p>
          <w:p>
            <w:pPr>
              <w:pStyle w:val="4613"/>
            </w:pPr>
            <w:r>
              <w:t xml:space="preserve">создание условий для реализации экономических и инфраструктурных проектов в Арктике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79(2)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79(3).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аэропорта Хатанга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транспортной доступности отдаленных арктических территорий Красноярского края;</w:t>
            </w:r>
            <w:r/>
          </w:p>
          <w:p>
            <w:pPr>
              <w:pStyle w:val="4613"/>
            </w:pPr>
            <w:r>
              <w:t xml:space="preserve">обеспечение круглогодичной доставки населению Таймырского Долгано-Ненецкого муниципального района продуктов питания, медикаментов, товаров первой необходимости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</w:t>
            </w:r>
            <w:r>
              <w:t xml:space="preserve">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79(3)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79(4).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аэропорта "Шерегеш"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аэропорта;</w:t>
            </w:r>
            <w:r/>
          </w:p>
          <w:p>
            <w:pPr>
              <w:pStyle w:val="4613"/>
            </w:pPr>
            <w:r>
              <w:t xml:space="preserve">повышение туристического потока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Росавиация, Правительство Кемеровской области - Кузбасса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79(4) введен распоряжением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79(5).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Расширение и модернизация аэропортового комплекса г. Кызыла, в том числе строительство грузового терминала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качества транспортного обслуживания населения и транспортной доступности, увеличение пропускной способности до 0,2 млн. пассажиров в год и </w:t>
            </w:r>
            <w:r>
              <w:t xml:space="preserve">грузооборота, открытие новых направлений, расширение въездного и выездного туризма не менее чем в 2 раза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Росавиация, Правительство Республики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79(5) введен распоряжением Правительства РФ от 27.0</w:t>
            </w:r>
            <w:r>
              <w:t xml:space="preserve">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2. Автомобильные дороги, пункты пропуска, транспортные коридоры, мосты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автомобильной дороги Северо-Западный обход города Кемерово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рост качества городской среды за счет снижения загруженности городских дорог транзитным транспортом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автомобильной дороги "Северный обход г. Омска"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рост качества городской среды за счет снижения загруженности городских дорог транзитным транспортом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области, Минтранс России,</w:t>
            </w:r>
            <w:r/>
          </w:p>
          <w:p>
            <w:pPr>
              <w:pStyle w:val="4613"/>
            </w:pPr>
            <w:r>
              <w:t xml:space="preserve">Роса</w:t>
            </w:r>
            <w:r>
              <w:t xml:space="preserve">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финансированию в период до 2035 года проектов реконструкции участков автомобильной дороги Р-254 "Иртыш", строительство восточного обхода г. Новосибирска, обходов г. Барнаула, г. Рубцовска, г. Ачинска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определен</w:t>
            </w:r>
            <w:r>
              <w:t xml:space="preserve">ие источника финансирования реконструкции участков автомобильной дороги и строительства обходов г. Барнаула, г. Рубцовска, г. Ачинска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Росавтодор,</w:t>
            </w:r>
            <w:r/>
          </w:p>
          <w:p>
            <w:pPr>
              <w:pStyle w:val="4613"/>
            </w:pPr>
            <w:r>
              <w:t xml:space="preserve">Правительство Новосибирской области,</w:t>
            </w:r>
            <w:r/>
          </w:p>
          <w:p>
            <w:pPr>
              <w:pStyle w:val="4613"/>
            </w:pPr>
            <w:r>
              <w:t xml:space="preserve">Правительство Алтайского края,</w:t>
            </w:r>
            <w:r/>
          </w:p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вопроса строительства автомобильной дороги общего пользования Туран-Ырбан-Тоора-Хем в Республике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инфраструктурное обеспечение</w:t>
            </w:r>
            <w:r>
              <w:t xml:space="preserve"> новых точек роста в северо-восточном регионе республики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вопроса строительства автомобильной дороги "Южный обход города Иркутска"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рост качества городской среды за счет снижения загруженности дорог транзитным транспортом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Минтр</w:t>
            </w:r>
            <w:r>
              <w:t xml:space="preserve">анс России,</w:t>
            </w:r>
            <w:r/>
          </w:p>
          <w:p>
            <w:pPr>
              <w:pStyle w:val="4613"/>
            </w:pPr>
            <w:r>
              <w:t xml:space="preserve">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реконструкции автомобильной дороги Баяндай - Еланцы - Хужир - на участке км 124 + 332 - км 153 + 932 в Ольхонском районе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доли автомобильных дорог регионального значения, соответствующих нормативным тре</w:t>
            </w:r>
            <w:r>
              <w:t xml:space="preserve">бованиям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85(1).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и реконструкция участков автомобильной дороги Р-255 "Сибирь" Новосибирск - Кемерово - Красноярск - Иркутск. Строительство автомобильной дороги Р-255 "Сибирь" Новосибирск - Кемерово - Красноярск - Иркутск на участке км 1508 + 782 - км 1519 + 4</w:t>
            </w:r>
            <w:r>
              <w:t xml:space="preserve">71, Иркутская область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участка дороги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Росавтодор, Минтранс России, 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85(1) введен распоряжением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85(2).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автомобильной дороги М-52 "Чуйский тракт" от Новосибирска через Бийск до границы с Монголией на участке Новосибирск - Линево (1 этап км 14 - км 34), Новосибирская область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участка дороги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</w:t>
            </w:r>
            <w:r>
              <w:t xml:space="preserve">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Росавтодор, Минтранс России, Правительство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85(2)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85(3).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и реконструкция участков автомобильной дороги Р-256 "Чуйский тракт" Новосибирск - Барнаул - Горно-Алтайск - граница с Монголией. Строительство автомобильной дороги Р-256 "Чуйский тракт" Новосибирск - Барнаул - Горно-Алтайск - граница с Монгол</w:t>
            </w:r>
            <w:r>
              <w:t xml:space="preserve">ией на участке Новосибирск - Линево (3 этап км 34 + 000 - км 49 + 000),</w:t>
            </w:r>
            <w:r/>
          </w:p>
          <w:p>
            <w:pPr>
              <w:pStyle w:val="4613"/>
            </w:pPr>
            <w:r>
              <w:t xml:space="preserve">Новосибирская область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участка дороги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Росавтодор, Минтранс России, Правительство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</w:t>
            </w:r>
            <w:r>
              <w:t xml:space="preserve">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85(3)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участка км 454 - км 496 автомобильной дороги Р-256 "Чуйский тракт" на подъезде к курорту "Манжерок"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участков км 454 - км 475 и км 475 - км 496 дороги, повышение транспортной доступности курорта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</w:t>
            </w:r>
            <w:r>
              <w:t xml:space="preserve">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Росавтодор,</w:t>
            </w:r>
            <w:r/>
          </w:p>
          <w:p>
            <w:pPr>
              <w:pStyle w:val="4613"/>
            </w:pPr>
            <w:r>
              <w:t xml:space="preserve">Правительство Республики Алтай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и реконструкция автомобильной дороги Р-256 "Чуйский тракт" на участке обхода с. Майма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участка дороги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</w:t>
            </w:r>
            <w:r>
              <w:t xml:space="preserve">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Росавтодор,</w:t>
            </w:r>
            <w:r/>
          </w:p>
          <w:p>
            <w:pPr>
              <w:pStyle w:val="4613"/>
            </w:pPr>
            <w:r>
              <w:t xml:space="preserve">Правительство Республики Алтай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Приведение в надлежащее техническое состояние автомобильных грузопассажирских пунктов пропуска через государственную границу Российской Федерации Кулунда (Шарбакты) и Веселоярск, Алтайский край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надлежащее техническое состояние пунктов пропуска через госуда</w:t>
            </w:r>
            <w:r>
              <w:t xml:space="preserve">рственную границу Российской Федерации Кулунда (Шарбакты) и Веселоярск, Алтайский край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Правительство Алтайского края,</w:t>
            </w:r>
            <w:r/>
          </w:p>
          <w:p>
            <w:pPr>
              <w:pStyle w:val="4613"/>
            </w:pPr>
            <w:r>
              <w:t xml:space="preserve">федеральное государственное казенное учреждение "Дирекция по строительству и </w:t>
            </w:r>
            <w:r>
              <w:t xml:space="preserve">эксплуатации объектов Росграницы"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автомобильного пункта пропуска через государственную границу Российской Федерации Ташанта, Республика Алтай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пункта пропуска до 372300 транспортных средств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</w:t>
            </w:r>
            <w:r/>
          </w:p>
          <w:p>
            <w:pPr>
              <w:pStyle w:val="4613"/>
            </w:pPr>
            <w:r>
              <w:t xml:space="preserve">Минтранса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федерал</w:t>
            </w:r>
            <w:r>
              <w:t xml:space="preserve">ьное государственное казенное учреждение "Дирекция по строительству и эксплуатации объектов Росграницы",</w:t>
            </w:r>
            <w:r/>
          </w:p>
          <w:p>
            <w:pPr>
              <w:pStyle w:val="4613"/>
            </w:pPr>
            <w:r>
              <w:t xml:space="preserve">Правительство Республики Алтай,</w:t>
            </w:r>
            <w:r/>
          </w:p>
          <w:p>
            <w:pPr>
              <w:pStyle w:val="4613"/>
            </w:pPr>
            <w:r>
              <w:t xml:space="preserve">ФТС России,</w:t>
            </w:r>
            <w:r/>
          </w:p>
          <w:p>
            <w:pPr>
              <w:pStyle w:val="4613"/>
            </w:pPr>
            <w:r>
              <w:t xml:space="preserve">Россельхознадзор,</w:t>
            </w:r>
            <w:r/>
          </w:p>
          <w:p>
            <w:pPr>
              <w:pStyle w:val="4613"/>
            </w:pPr>
            <w:r>
              <w:t xml:space="preserve">Роспотребнадзор,</w:t>
            </w:r>
            <w:r/>
          </w:p>
          <w:p>
            <w:pPr>
              <w:pStyle w:val="4613"/>
            </w:pPr>
            <w:r>
              <w:t xml:space="preserve">ФСБ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автомобильного пункта пропуска через государственную границу Российской Федерации Ольховка, Омская область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пункта пропуска до 576700 транспортных средств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</w:t>
            </w:r>
            <w:r/>
          </w:p>
          <w:p>
            <w:pPr>
              <w:pStyle w:val="4613"/>
            </w:pPr>
            <w:r>
              <w:t xml:space="preserve">Минтранса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федеральное государственное казенное учреждение "Дирекция по строительству и эксплуатации объектов Росграницы",</w:t>
            </w:r>
            <w:r/>
          </w:p>
          <w:p>
            <w:pPr>
              <w:pStyle w:val="4613"/>
            </w:pPr>
            <w:r>
              <w:t xml:space="preserve">Правительство Ом</w:t>
            </w:r>
            <w:r>
              <w:t xml:space="preserve">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автомобильного пункта пропуска через государственную границу Российской Федерации Павловка, Новосибирская область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пункта пропуска до 576700 транспортных средств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</w:t>
            </w:r>
            <w:r/>
          </w:p>
          <w:p>
            <w:pPr>
              <w:pStyle w:val="4613"/>
            </w:pPr>
            <w:r>
              <w:t xml:space="preserve">Минтранса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</w:t>
            </w:r>
            <w:r>
              <w:t xml:space="preserve">едеральное государственное казенное учреждение "Дирекция по строительству и эксплуатации объектов Росграницы",</w:t>
            </w:r>
            <w:r/>
          </w:p>
          <w:p>
            <w:pPr>
              <w:pStyle w:val="4613"/>
            </w:pPr>
            <w:r>
              <w:t xml:space="preserve">Правительство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автомобильного пункта пропуска через государственную границу Российской Федерации Хандагайты (Боршо), Республика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пункта пропуска до 73000 транспортных средств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</w:t>
            </w:r>
            <w:r/>
          </w:p>
          <w:p>
            <w:pPr>
              <w:pStyle w:val="4613"/>
            </w:pPr>
            <w:r>
              <w:t xml:space="preserve">Минтранса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</w:t>
            </w:r>
            <w:r>
              <w:t xml:space="preserve">и,</w:t>
            </w:r>
            <w:r/>
          </w:p>
          <w:p>
            <w:pPr>
              <w:pStyle w:val="4613"/>
            </w:pPr>
            <w:r>
              <w:t xml:space="preserve">федеральное государственное казенное учреждение "Дирекция по строительству и эксплуатации объектов Росграницы",</w:t>
            </w:r>
            <w:r/>
          </w:p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ФТС России,</w:t>
            </w:r>
            <w:r/>
          </w:p>
          <w:p>
            <w:pPr>
              <w:pStyle w:val="4613"/>
            </w:pPr>
            <w:r>
              <w:t xml:space="preserve">Россельхознадзор,</w:t>
            </w:r>
            <w:r/>
          </w:p>
          <w:p>
            <w:pPr>
              <w:pStyle w:val="4613"/>
            </w:pPr>
            <w:r>
              <w:t xml:space="preserve">Роспотребнадзор,</w:t>
            </w:r>
            <w:r/>
          </w:p>
          <w:p>
            <w:pPr>
              <w:pStyle w:val="4613"/>
            </w:pPr>
            <w:r>
              <w:t xml:space="preserve">ФСБ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технико-экономического обоснования создания трансграничного автомобильного коридора "Красноярск - Абакан - Ак-Довурак - Чадан - Хандагайты - Улангом - Ховд - Урумчи"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обоснование создания трансграничного коридора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</w:t>
            </w:r>
            <w:r>
              <w:t xml:space="preserve">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 Правительство Республики Хакасия, 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технико-экономического обоснования создания автомобильного транспортного коридора "Кызыл-Хая (Республика Тыва) - Кош-Агач (Республика Алтай)"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обоснование создания транспортного коридора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</w:t>
            </w:r>
            <w:r>
              <w:t xml:space="preserve">еспублики Тыва,</w:t>
            </w:r>
            <w:r/>
          </w:p>
          <w:p>
            <w:pPr>
              <w:pStyle w:val="4613"/>
            </w:pPr>
            <w:r>
              <w:t xml:space="preserve">Правительство Республики Алтай,</w:t>
            </w:r>
            <w:r/>
          </w:p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технико-экономического обоснования создания автомобильного транспортного коридора Абакан - Бийск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обоснование создания транспортного коридора, включая строительство автомобильной дороги Абакан - Большой Ортон - Таштагол с подъездом к Междуреченск</w:t>
            </w:r>
            <w:r>
              <w:t xml:space="preserve">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транзитного коридора Москва - Казань - Новосибирск - Монголия - Китай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автомобильных</w:t>
            </w:r>
            <w:r>
              <w:t xml:space="preserve"> дорог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Росавтодор,</w:t>
            </w:r>
            <w:r/>
          </w:p>
          <w:p>
            <w:pPr>
              <w:pStyle w:val="4613"/>
            </w:pPr>
            <w:r>
              <w:t xml:space="preserve">Правительство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предложения по строительству автомобильного и железнодорожного мостов в нижнем бьефе Братской гидроэлектростанции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провозной способности транспортного коридора "Запад - Восток". Выполнение требований по безопасности эксплуатации Братск</w:t>
            </w:r>
            <w:r>
              <w:t xml:space="preserve">ой гидроэлектростанции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"Эн + ГРУП",</w:t>
            </w:r>
            <w:r/>
          </w:p>
          <w:p>
            <w:pPr>
              <w:pStyle w:val="4613"/>
            </w:pPr>
            <w:r>
              <w:t xml:space="preserve">открытое акционерное общество "Российские железные дороги",</w:t>
            </w:r>
            <w:r/>
          </w:p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</w:t>
            </w:r>
            <w:r>
              <w:t xml:space="preserve">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мостового перехода через реку Обь в створе ул. Ипподромская г. Новосибирска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снижение загруженности автодорог и оптимизация транспортных потоков, повышение транспортной связанности городских территорий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области,</w:t>
            </w:r>
            <w:r/>
          </w:p>
          <w:p>
            <w:pPr>
              <w:pStyle w:val="4613"/>
            </w:pPr>
            <w:r>
              <w:t xml:space="preserve">Росавтодор,</w:t>
            </w:r>
            <w:r/>
          </w:p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условий участникам перевозочного процесса в сфере автомобильного транспорта к переходу на электронный документооборот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количества участников перевозочного процесса в сфере автомобильного транспорта, перешедших на электронный документообо</w:t>
            </w:r>
            <w:r>
              <w:t xml:space="preserve">рот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99(1).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автомобильной дороги "Новосибирск - Кочки - Павлодар (в пределах Российской Федерации)" на участке Новосибирск - Ярково в Новосибирском районе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участка дороги, ведущей к автомобильному пу</w:t>
            </w:r>
            <w:r>
              <w:t xml:space="preserve">нкту пропуска через государственную границу Российской Федерации Павловка, Новосибирская область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99(1) введен распоряжением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99(2).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автомобильной дороги "Обход г. Бийска в Бийском районе Алтайского края"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рост качества городской среды за счет снижения загруженности городских дорог транзитными транспортными средствами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99(2) введен рас</w:t>
            </w:r>
            <w:r>
              <w:t xml:space="preserve">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99(3).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доли соответствующих нормативным требованиям автомобильных дорог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</w:t>
            </w:r>
            <w:r>
              <w:t xml:space="preserve">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 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99(3)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3. Железные дороги и водные пути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Оценка целесообразности создания Северо-Сибирской железнодорожной магистрали (от Нижневартовска до Белого Яра, от Таштагола до Урумчи)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обоснование создания Северо-Сибирской железнодорожной магистрали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</w:t>
            </w:r>
            <w:r>
              <w:t xml:space="preserve">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открытое акционерное общество "Российские железные дороги"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Завершение строительства железнодорожной линии Карабула - Ярки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снятие инфраструктурных ограничени</w:t>
            </w:r>
            <w:r>
              <w:t xml:space="preserve">й на вывоз продукции лесопереработки в рамках кластеров "Лес, лесопереработка и лесохимия", "Переработка алюминия", "Нефть и газ"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Минтранс России,</w:t>
            </w:r>
            <w:r/>
          </w:p>
          <w:p>
            <w:pPr>
              <w:pStyle w:val="4613"/>
            </w:pPr>
            <w:r>
              <w:t xml:space="preserve">Росжелдор,</w:t>
            </w:r>
            <w:r/>
          </w:p>
          <w:p>
            <w:pPr>
              <w:pStyle w:val="4613"/>
            </w:pPr>
            <w:r>
              <w:t xml:space="preserve">открытое акционерное общество "Российские железные дороги"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железнодорожных станций "Абалаково" и "Лесосибирск"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снятие инфраструктурных ограничений на вывоз продукции лесо</w:t>
            </w:r>
            <w:r>
              <w:t xml:space="preserve">переработки в рамках кластера "Лес, лесопереработка и лесохимия"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</w:t>
            </w:r>
            <w:r/>
          </w:p>
          <w:p>
            <w:pPr>
              <w:pStyle w:val="4613"/>
            </w:pPr>
            <w:r>
              <w:t xml:space="preserve">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открытое акционерное общество "Российские железные дороги"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Оценка целесообразности реализации проекта строительства железнодорожной линии Элегест - Кызыл - Курагино (с учетом внебюджетных источников финансирования)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инфраструктурное обеспечение Элегестского месторождения коксующегося угля в рамках кластера "Уголь"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Росжелдор, Минэкономразвития России,</w:t>
            </w:r>
            <w:r/>
          </w:p>
          <w:p>
            <w:pPr>
              <w:pStyle w:val="4613"/>
            </w:pPr>
            <w:r>
              <w:t xml:space="preserve">акционерное общество "Тувинская энергетическая промышленная корпорация "Кызыл-Курагино",</w:t>
            </w:r>
            <w:r/>
          </w:p>
          <w:p>
            <w:pPr>
              <w:pStyle w:val="4613"/>
            </w:pPr>
            <w:r>
              <w:t xml:space="preserve">открытое акционерное общество "Российские железные дороги",</w:t>
            </w:r>
            <w:r/>
          </w:p>
          <w:p>
            <w:pPr>
              <w:pStyle w:val="4613"/>
            </w:pPr>
            <w:r>
              <w:t xml:space="preserve">Правитель</w:t>
            </w:r>
            <w:r>
              <w:t xml:space="preserve">ство Республики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и реализация плана мероприятий на период до 2032 года по реконструкции железнодорожной инфраструктуры по направлению "Новосибирск - Барнаул" с учетом роста грузооборота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инфраструктурное обеспечение реализации инвестиционного проекта общества с о</w:t>
            </w:r>
            <w:r>
              <w:t xml:space="preserve">граниченной ответственностью "Разрез Богатырь" по освоению участка недр "Богатырь" Горловского угольного бассейна в рамках кластера "Уголь"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области,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открытое акционерное общество "Российские железные дороги"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плану мероприятий по созданию Центрально-Евразийского транспортного коридора - северное направление (Курагино - Кызыл - Цаган-Толгой - Арц-Сурь - Овот - Эрденет - Салхит - Замын Уде - Эрлянь - Уланчаб - Чжанцзякоу - Пекин - Тяньцз</w:t>
            </w:r>
            <w:r>
              <w:t xml:space="preserve">янь); западное направление (Курагино - Кызыл - Цаган Толгой - Арц-Сурь - Кобдо - Такешкен - район Хами - Чанцзи - Хуэйский автономный округ - Урумчи)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разработки комплекса мер, направленных на строительство трансграничного железнодорожного корид</w:t>
            </w:r>
            <w:r>
              <w:t xml:space="preserve">ора в целях снятия инфраструктурных ограничений для экспорта сибирской продукции; развитие транспортного потенциала геостратегической территории Республики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Правительство Рес</w:t>
            </w:r>
            <w:r>
              <w:t xml:space="preserve">публики Тыва,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МИД России,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открытое акционерное общество "Российские железные дороги"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 по развитию магистральной электрической сети, предусмотренных комплексным планом модернизации и расширения магистральной инфраструктуры на период до 2024 года, утвержденным распоряжением Правительства Российской Федерации от 30 сентя</w:t>
            </w:r>
            <w:r>
              <w:t xml:space="preserve">бря 2018 г. N 2101-р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электроснабжения тяговых подстанций второго этапа развития Восточного полигона железных дорог открытым акционерным обществом "Российские железные дороги", обеспечение перспективного спроса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</w:t>
            </w:r>
            <w:r>
              <w:t xml:space="preserve">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"Россети"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 (при наличии решения Правительства Российской Федерации о продлении срока реализации комплексного плана модернизации и расширения магистральной инфраструктуры н</w:t>
            </w:r>
            <w:r>
              <w:t xml:space="preserve">а период до 2024 года, утвержденного распоряжением Правительства Российской Федерации от 30 сентября 2018 г. N 2101-р)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вопроса создания портово-логистического кластера в г. Усть-Кут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развитию транспортной инфраструктуры в г. Усть-Кут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Минтранс Ро</w:t>
            </w:r>
            <w:r>
              <w:t xml:space="preserve">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береговых производственных объектов и сооружений (реконструкция обстановочной базы флота Ангарского района водных путей и судоходства в г. Иркутске)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судоходства на реке Ангара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</w:t>
            </w:r>
            <w:r>
              <w:t xml:space="preserve">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федеральное казенное учреждение "Ространсмодернизация"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реализация комплексного проекта реконструкции гидротехнических сооружений и водных путей Енисейского бассейна I этап (2 очередь)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судоходства на реке Енисей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федеральное казенно</w:t>
            </w:r>
            <w:r>
              <w:t xml:space="preserve">е учреждение "Ространсмодернизация"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реализация комплексного проекта реконструкции гидротехнических сооружений и водных путей Енисейского бассейна. Модернизация Симоновских ремонтно-механических мастерских в г. Енисейске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</w:t>
            </w:r>
            <w:r>
              <w:t xml:space="preserve">ие ремонтных работ Енисейского судоходства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федеральное казенное учреждение "Ространсмодернизация"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реализация комплексного проекта реконструкции гидротехнических сооружений и водных путей Енисейского бассейна. Модернизация ремонтно-отстойного пункта "Рыбное" на реке Ангара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судоходства на реке Ангара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</w:t>
            </w:r>
            <w:r>
              <w:t xml:space="preserve">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110(1)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узлового мультимодального транспортно-логистического центра "Сибирский" в Новосибирской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оптимизация цепочек поставок для компаний электронной и офлайн-торговли, транспортных компаний и производителей, а также снижение нагрузки на федер</w:t>
            </w:r>
            <w:r>
              <w:t xml:space="preserve">альные автомобильные трассы и дорожную сеть г. Новосибирска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области,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организация железнодорожного транспорта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110(2) введен распоряжением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распределительного центра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линейного объекта - железнодорожные пути 6 - 7 км с примыканием к железнодорожным путям Восточно-Сибирской железной дороги. Предполагается размещение следующих функциональных объектов:</w:t>
            </w:r>
            <w:r/>
          </w:p>
          <w:p>
            <w:pPr>
              <w:pStyle w:val="4613"/>
            </w:pPr>
            <w:r>
              <w:t xml:space="preserve">склады для хранения грузов общей площадью 20000 кв. метро</w:t>
            </w:r>
            <w:r>
              <w:t xml:space="preserve">в;</w:t>
            </w:r>
            <w:r/>
          </w:p>
          <w:p>
            <w:pPr>
              <w:pStyle w:val="4613"/>
            </w:pPr>
            <w:r>
              <w:t xml:space="preserve">административное здание площадью 1000 кв. метров;</w:t>
            </w:r>
            <w:r/>
          </w:p>
          <w:p>
            <w:pPr>
              <w:pStyle w:val="4613"/>
            </w:pPr>
            <w:r>
              <w:t xml:space="preserve">здание депо площадью 300 кв. метров;</w:t>
            </w:r>
            <w:r/>
          </w:p>
          <w:p>
            <w:pPr>
              <w:pStyle w:val="4613"/>
            </w:pPr>
            <w:r>
              <w:t xml:space="preserve">контрольно-пропускной пункт площадью 40 кв. метров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организация железнодорожного транспорта </w:t>
            </w:r>
            <w:r>
              <w:t xml:space="preserve">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110(3)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логистического парка "Солнечный", состоящего из распределительных центров для торговых сетей "Красное и Белое", "СберЛогистика", "Магнит", "Пятерочка" общей площадью более 195 тыс. кв. метров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логистического парка "Солнечный", со</w:t>
            </w:r>
            <w:r>
              <w:t xml:space="preserve">стоящего из 4 автономных и обособленных между собой распределительных центров для заказчиков крупных торговых сетей и логистического оператора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 совместно с заинтересованными организациям</w:t>
            </w:r>
            <w:r>
              <w:t xml:space="preserve">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110(4)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110(5).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предложений по развитию Арктического полигона железных дорог, в том числе созданию транспортного коридора, соединяющего промышленные центры юга Сибири и Транссибирскую железнодорожную магистраль с арктическими портами, а также по развитию внутре</w:t>
            </w:r>
            <w:r>
              <w:t xml:space="preserve">нних водных путей на реках Лена, Енисей, Обь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развитию транспортной инфраструктуры в целях соединения территорий регионов Сибирского федерального округа с портами на Северном Ледовитом океане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</w:t>
            </w:r>
            <w:r>
              <w:t xml:space="preserve">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федеральное государственное бюджетное учреждение "Российская академия наук",</w:t>
            </w:r>
            <w:r/>
          </w:p>
          <w:p>
            <w:pPr>
              <w:pStyle w:val="4613"/>
            </w:pPr>
            <w:r>
              <w:t xml:space="preserve">организация железнодорожного транспорта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110(5)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110(6).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железнодорожной инфраструктуры Байкало-Амурской и Транссибирской железнодорожных магистралей с развитием пропускных и провозных способностей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развития провозной и пропускной способностей Байкало-Амурской и Транссибирской железнодоро</w:t>
            </w:r>
            <w:r>
              <w:t xml:space="preserve">жных магистралей до 2035 года в соответствии с графиком достижения целевых показателей инвестиционного проекта "Модернизация железнодорожной инфраструктуры Байкало-Амурской и Транссибирской железнодорожных магистралей с развитием пропускных и провозных спо</w:t>
            </w:r>
            <w:r>
              <w:t xml:space="preserve">собностей (третий этап)"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организация железнодорожного транспорта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  <w:p>
            <w:pPr>
              <w:pStyle w:val="4613"/>
              <w:jc w:val="center"/>
            </w:pPr>
            <w:r>
              <w:t xml:space="preserve">(сроки могут быть уточены с учетом принимаемых Правите</w:t>
            </w:r>
            <w:r>
              <w:t xml:space="preserve">льством Российской Федерации тарифных решений, процентных ставок по кредитным средствам и регуляторных ограничений по предоставлению кредитных средств организациям с государственным участием)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110(6) введен распоряжением</w:t>
            </w:r>
            <w:r>
              <w:t xml:space="preserve">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110(7).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транспортно-логистического центра в г. Красноярске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оптимизация цепочек поставок для транспортных компаний и производителей, снижение нагрузки на федеральные автомобильные трассы и дорожную сеть г. Красноярска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организация железнодор</w:t>
            </w:r>
            <w:r>
              <w:t xml:space="preserve">ожного транспорта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110(7)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4. Электроснабжение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Установление дифференцированных тарифов на услуги по передаче электроэнергии для потребителей, осуществляющих высокоэнергоемкие вычисления ("майнинговые фермы")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инвестиционных проектов необходимой энергетической мощностью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</w:t>
            </w:r>
            <w:r>
              <w:t xml:space="preserve">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Минцифры России,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ФАС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предложений об отмене принципа недискриминационного доступа к услуге по технологическому присоединению к электрическим сетям энергопринимающих устройств (центров обработки данных, "майнинговые фермы")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инвестиционных проектов необходи</w:t>
            </w:r>
            <w:r>
              <w:t xml:space="preserve">мой энергетической мощностью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ФАС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программы повышения надежности электросетевого комплекса Алтайского края до 2030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надежности электросетевого комплекса, снижение числа аварий и инцидентов на объектах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</w:t>
            </w:r>
            <w:r/>
          </w:p>
          <w:p>
            <w:pPr>
              <w:pStyle w:val="4613"/>
            </w:pPr>
            <w:r>
              <w:t xml:space="preserve">публичн</w:t>
            </w:r>
            <w:r>
              <w:t xml:space="preserve">ое акционерное общество "Россети"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опытно-демонстрационного энергокомплекса в составе энергоблока с реактором на быстрых нейтронах со свинцовым теплоносителем "БРЕСТ-ОД-300" с пристанционным ядерным топливным циклом в г. Северске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ввод в эксплуатацию энергоблока электрической м</w:t>
            </w:r>
            <w:r>
              <w:t xml:space="preserve">ощностью 300 МВт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Государственная корпорация по атомной энергии "Росатом",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Администрация Томской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принятие решений, необходимых для предотвращения возникновения</w:t>
            </w:r>
            <w:r>
              <w:t xml:space="preserve"> дефицита электрической энергии (мощности) в юго-восточной части объединенной энергетической системы Сибири, с учетом перспективных потребителей электрической энергии, включая строительство объектов генерации и магистральных сетей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гарантированн</w:t>
            </w:r>
            <w:r>
              <w:t xml:space="preserve">ого и надежного электроснабжения потребителей с учетом потребностей социально-экономического развития и реализации инвестиционных проектов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 акционерное общество "Системный оператор Единой энергетической системы",</w:t>
            </w:r>
            <w:r/>
          </w:p>
          <w:p>
            <w:pPr>
              <w:pStyle w:val="4613"/>
            </w:pPr>
            <w:r>
              <w:t xml:space="preserve">ассоциация "Некоммерческое партнерство Совет рынка по организации эффективной системы оптовой и розничной торговли электрической энергией и мощностью"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 дале</w:t>
            </w:r>
            <w:r>
              <w:t xml:space="preserve">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предложений по завершению строительства Крапивинской гидроэлектростанции на реке Томь в Кемеровской области - Кузбассе с учетом экономической целесообразности и проработка вопросов привлечения средств федерального бюджета в целях создания объе</w:t>
            </w:r>
            <w:r>
              <w:t xml:space="preserve">ктов федеральной собственности (плотина и водохранилище гидроэлектростанции) и общих источников финансирования строительства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предложения по завершению строительства Крапивинской гидроэлектростанции на реке Томь в Кемеровской области - Кузбассе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</w:t>
            </w:r>
            <w:r>
              <w:t xml:space="preserve">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"Русгидро"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технико-экономического обоснования вариантов электроснабжения удаленных населенных пунктов Монгун-Тайгинского и Тере-Хольского районов Республики Тыва с учетом оценки тарифных последствий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обоснование вариантов электроснабжения удаленных населе</w:t>
            </w:r>
            <w:r>
              <w:t xml:space="preserve">нных пунктов Монгун-Тайгинского и Тере-Хольского районов Республики Тыва с учетом оценки тарифных последствий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ФАС России,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"Россети",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"Дизель",</w:t>
            </w:r>
            <w:r/>
          </w:p>
          <w:p>
            <w:pPr>
              <w:pStyle w:val="4613"/>
            </w:pPr>
            <w:r>
              <w:t xml:space="preserve">акционерное общество "Системный оператор Единой энергетической системы"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комплексного плана реализации инвестиционных проектов в промышленной и социальной сферах на территории Рес</w:t>
            </w:r>
            <w:r>
              <w:t xml:space="preserve">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инвестиционных проектов в промышленной и социальной сферах на территории Республики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Минстрой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118(1).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принятие решений, необходимых для стабилизации и улучшения финансово-экономического положения публичного акционерного общества "Россети Сибирь" (включая заключение соглашений об условиях осуществления регулируемых видов деяте</w:t>
            </w:r>
            <w:r>
              <w:t xml:space="preserve">льности, в том числе в целях исполнения накопленных обязательств по технологическому присоединению к электрическим сетям публичного акционерного общества "Россети Сибирь" льготных категорий заявителей)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гарантированного и надежного электроснабже</w:t>
            </w:r>
            <w:r>
              <w:t xml:space="preserve">ния потребителей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ФАС России,</w:t>
            </w:r>
            <w:r/>
          </w:p>
          <w:p>
            <w:pPr>
              <w:pStyle w:val="4613"/>
            </w:pPr>
            <w:r>
              <w:t xml:space="preserve">Минфин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на территориях которых присутствует публичное акционерное общество "Россети Сибирь",</w:t>
            </w:r>
            <w:r/>
          </w:p>
          <w:p>
            <w:pPr>
              <w:pStyle w:val="4613"/>
            </w:pPr>
            <w:r>
              <w:t xml:space="preserve">публичное акционерное общество "Россети Сибирь"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118(1)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118(2).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3 блоков электростанции общей мощностью 690 МВт в г. Усолье-Сибирское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значимого роста энергетической и ресурсной эффективности в жилищно-коммунальном хозяйстве, промышленном и инфраструктурном строительстве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118(2)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118(3).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утверждение программы повышения надежности электросетевого комплекса Красноярского края до 2029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надежности электросетевого комплекса, снижение числа аварий и инцидентов на объектах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</w:t>
            </w:r>
            <w:r>
              <w:t xml:space="preserve">вительство Красноярского края, Минэнерго России,</w:t>
            </w:r>
            <w:r/>
          </w:p>
          <w:p>
            <w:pPr>
              <w:pStyle w:val="4613"/>
            </w:pPr>
            <w:r>
              <w:t xml:space="preserve">организация по управлению единой национальной (общероссийской) электрической сетью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118(3)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</w:t>
            </w:r>
            <w:r>
              <w:t xml:space="preserve">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118(4).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промышленного энергокомплекса в составе энергоблока с реактором на быстрых нейтронах со свинцовым теплоносителем "БР-1200"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инфраструктуры по производству топлива для первого энергоблока со свинцовым теплоносителем "БР-1200"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</w:t>
            </w:r>
            <w:r>
              <w:t xml:space="preserve">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Государственная корпорация по атомной энергии "Росатом",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Администрация Томской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118(4) введен распоряжением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118(5).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утверждение программ повышения надежности функционирования электросетевого комплекса для субъектов Российской Федерации, входящих в состав Сибирского федерального округа, с указанием источников финансирования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бесперебойного и качес</w:t>
            </w:r>
            <w:r>
              <w:t xml:space="preserve">твенного электроснабжения потребителей, минимизация количества и продолжительности отключений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Минэнерго России, Минфин России,</w:t>
            </w:r>
            <w:r/>
          </w:p>
          <w:p>
            <w:pPr>
              <w:pStyle w:val="4613"/>
            </w:pPr>
            <w:r>
              <w:t xml:space="preserve">ФАС России, публичное акционерн</w:t>
            </w:r>
            <w:r>
              <w:t xml:space="preserve">ое общество "Россети",</w:t>
            </w:r>
            <w:r/>
          </w:p>
          <w:p>
            <w:pPr>
              <w:pStyle w:val="4613"/>
            </w:pPr>
            <w:r>
              <w:t xml:space="preserve">системообразующие территориальные сетевые организации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118(5)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5. Газификация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перспективного спроса на газ с указанием конкретных потребителей в целях учета их публичным акционерным обществом "Газпром" при подготовке технико-экономического обоснования развития Томской газотранспортной системы с учетом тарифов на газ, эл</w:t>
            </w:r>
            <w:r>
              <w:t xml:space="preserve">ектроэнергию и тепло, а также топливно-энергетических балансов субъектов Российской Федерации, входящих в Сибирский федеральный округ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газа для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</w:t>
            </w:r>
            <w:r>
              <w:t xml:space="preserve">оклад</w:t>
            </w:r>
            <w:r/>
          </w:p>
          <w:p>
            <w:pPr>
              <w:pStyle w:val="4613"/>
            </w:pPr>
            <w:r>
              <w:t xml:space="preserve">в 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технико-экономического обоснования развития Томской газотранспортной системы в целях снятия инфраструктурных ограничений на поставку газа новым потребителям в Томской области, Омской области, Новосибирской области, Кемеровской области - Кузбассе</w:t>
            </w:r>
            <w:r>
              <w:t xml:space="preserve"> и Алтайском крае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газа для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Включение в схему территориального планирования Российской Федерации системы магистральных газопроводов "Восточная система газоснабжения"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определение трассы магистральных газопроводов "Восточная система газоснабжения"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распоряжение Правительства Российской </w:t>
            </w:r>
            <w:r>
              <w:t xml:space="preserve">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Определение перспективных объемов потребления природного газа промышленными потребителями</w:t>
            </w:r>
            <w:r/>
          </w:p>
          <w:p>
            <w:pPr>
              <w:pStyle w:val="4613"/>
            </w:pPr>
            <w:r>
              <w:t xml:space="preserve">(1 этап - потребители, расположенные вблизи городов Ачинск, Красноярск, Канск, Саянск, Усолье - Сибирское, Ангарск, Иркутск;</w:t>
            </w:r>
            <w:r/>
          </w:p>
          <w:p>
            <w:pPr>
              <w:pStyle w:val="4613"/>
            </w:pPr>
            <w:r>
              <w:t xml:space="preserve">2 этап - все потребители на территории Си</w:t>
            </w:r>
            <w:r>
              <w:t xml:space="preserve">бирского федерального округа)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газа для субъектов Российской Федерации, входящих в состав Сибирского федерального округа, формирование перечня крупных перспективных потребителей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России, доклад в публичное ак</w:t>
            </w:r>
            <w:r>
              <w:t xml:space="preserve">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Инвентаризация домовладений граждан в целях возможности их газификации за счет сетевого газа</w:t>
            </w:r>
            <w:r/>
          </w:p>
          <w:p>
            <w:pPr>
              <w:pStyle w:val="4613"/>
            </w:pPr>
            <w:r>
              <w:t xml:space="preserve">(1 этап - потребители, расположенные вблизи городов Ачинск, Красноярск, Канск, Саянск, Ангарск, Иркутск;</w:t>
            </w:r>
            <w:r/>
          </w:p>
          <w:p>
            <w:pPr>
              <w:pStyle w:val="4613"/>
            </w:pPr>
            <w:r>
              <w:t xml:space="preserve">2 этап - все потребители на территории Сибирского федераль</w:t>
            </w:r>
            <w:r>
              <w:t xml:space="preserve">ного округа)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газа для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России, доклад в 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</w:t>
            </w:r>
            <w:r>
              <w:t xml:space="preserve">дерации,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прогнозных топливно-энергетических балансов субъектов Российской Федерации, входящих в Сибирский федеральный округ, в соответствии с утвержденным порядком составления топливно-энергетических балансов субъектов Российской Федерации, муниципальных</w:t>
            </w:r>
            <w:r>
              <w:t xml:space="preserve"> образований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прогноз потребления природного газа в зависимости от цены на газ с учетом межтопливной конкуренции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единый оператор газификации,</w:t>
            </w:r>
            <w:r/>
          </w:p>
          <w:p>
            <w:pPr>
              <w:pStyle w:val="4613"/>
            </w:pPr>
            <w:r>
              <w:t xml:space="preserve">ре</w:t>
            </w:r>
            <w:r>
              <w:t xml:space="preserve">гиональный оператор газификации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Единой системы газоснабжения исходя из необходимости газификации максимально возможного количества субъектов Российской Федерации, не имеющих в настоящее время доступа к Единой системе газоснабжения, </w:t>
            </w:r>
            <w:r>
              <w:t xml:space="preserve">включая регионы Восточной Сибири и Дальнего Востока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газификации регионов Восточной Сибири и Дальнего Востока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предложений по созданию в Восточной Сибири и на Дальнем Востоке газотранспортной системы (в том числе локальной) с учетом ресурсной базы независимых производителей газа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газификации регионов Восточной Сибири и Дальнего Востока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 Правительство Красноярского края, Правительство Республики Тыва, 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независимые производители газа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предложений по созданию в Восточной Сибири и на Дальнем Востоке газотранспортной системы с учетом ресурсной базы публичного акционерного общества "Газпром" и независимых производителей газа на основе финансово-экономической модели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</w:t>
            </w:r>
            <w:r>
              <w:t xml:space="preserve">е газификации регионов Восточной Сибири и Дальнего Востока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"Газпром",</w:t>
            </w:r>
            <w:r/>
          </w:p>
          <w:p>
            <w:pPr>
              <w:pStyle w:val="4613"/>
            </w:pPr>
            <w:r>
              <w:t xml:space="preserve">независимые производители газа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Корректировка генеральных схем газоснабжения и газификации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уточнение перспективных поставок природного газа для субъектов Российской Федерации, входящих в состав Сибирского фе</w:t>
            </w:r>
            <w:r>
              <w:t xml:space="preserve">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публичное акционерное общество "Газпром",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Корректировка региональных программ газификации жилищно-коммунального хозяйства, про</w:t>
            </w:r>
            <w:r>
              <w:t xml:space="preserve">мышленных и иных организаций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газа для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</w:t>
            </w:r>
            <w:r>
              <w:t xml:space="preserve">рации,</w:t>
            </w:r>
            <w:r/>
          </w:p>
          <w:p>
            <w:pPr>
              <w:pStyle w:val="4613"/>
            </w:pPr>
            <w:r>
              <w:t xml:space="preserve">единый оператор газификации,</w:t>
            </w:r>
            <w:r/>
          </w:p>
          <w:p>
            <w:pPr>
              <w:pStyle w:val="4613"/>
            </w:pPr>
            <w:r>
              <w:t xml:space="preserve">региональные операторы газификации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проекта Генеральной схемы развития газовой отрасли Российской Федерации на период до 2050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проект генеральной схемы развития газовой отрасли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"Газп</w:t>
            </w:r>
            <w:r>
              <w:t xml:space="preserve">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мероприятий по развитию отрасли газомоторного топлива в рамках федерального проекта "Чистая энергетика"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объема потребления газомоторного топлива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Минэнерго</w:t>
            </w:r>
            <w:r>
              <w:t xml:space="preserve">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концепции развития гелиевой промышленности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проект концепции развития гелиевой промышленности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Минпромторг России,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публичное акционерное общество "Газпром",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</w:t>
            </w:r>
            <w:r>
              <w:t xml:space="preserve">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132(1).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вопроса о поэтапной реализации проекта по строительству магистрального газопровода "Ковыкта - Саянск - Иркутск"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создание газохимического комплекса в Иркутской области, обеспечение технологической независимости и формирование новых рынков по таки</w:t>
            </w:r>
            <w:r>
              <w:t xml:space="preserve">м направлениям, как новые материалы и химия;</w:t>
            </w:r>
            <w:r/>
          </w:p>
          <w:p>
            <w:pPr>
              <w:pStyle w:val="4613"/>
            </w:pPr>
            <w:r>
              <w:t xml:space="preserve">перевод тепловых электростанций и автомобильного транспорта на газ; снижение уровня загрязнения атмосферного воздуха; улучшение условий жизни населения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</w:t>
            </w:r>
            <w:r>
              <w:t xml:space="preserve">ркутской области,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организация - собственник Единой системы газоснабжения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132(1) 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132(1-1).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Ввод в эксплуатацию объекта "Газопровод "Ковыкта - Саянск - Иркутск. Участок Ковыкта - Жигалово (газопровод-отвод и газораспределительная станция Жигалово)"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технологической независимости и формирование новых рынков по таким направлениям, как но</w:t>
            </w:r>
            <w:r>
              <w:t xml:space="preserve">вые материалы и химия;</w:t>
            </w:r>
            <w:r/>
          </w:p>
          <w:p>
            <w:pPr>
              <w:pStyle w:val="4613"/>
            </w:pPr>
            <w:r>
              <w:t xml:space="preserve">снижение уровня загрязнения атмосферного воздуха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организация - собственник Единой системы газоснабжения, 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132(1-1) введен распоряжением Правительства РФ от 27.06.</w:t>
            </w:r>
            <w:r>
              <w:t xml:space="preserve">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132(2).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газотранспортной системы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газа для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организация - собственник Единой системы газоснабжения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год, далее - еж</w:t>
            </w:r>
            <w:r>
              <w:t xml:space="preserve">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132(2)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132(3).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газотранспортной системы Иркутской области, в том числе реализация программы развития газоснабжения и газификации Иркутской области на период 2026 - 2030 годов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газа для субъектов Российской Федерации, входящих в сост</w:t>
            </w:r>
            <w:r>
              <w:t xml:space="preserve">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организация - собственник Единой системы газоснабжения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132(3)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</w:t>
            </w:r>
            <w:r>
              <w:t xml:space="preserve">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132(4).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реализация программы развития газоснабжения и газификации Алтайского края на период 2026 - 2030 годов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газа для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</w:t>
            </w:r>
            <w:r>
              <w:t xml:space="preserve">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</w:t>
            </w:r>
            <w:r/>
          </w:p>
          <w:p>
            <w:pPr>
              <w:pStyle w:val="4613"/>
            </w:pPr>
            <w:r>
              <w:t xml:space="preserve">организация - собственник Единой системы газоснабжения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132(4)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132(5).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Томской газотранспортной системы в целях снятия инфраструктурных ограничений на поставку газа для перспективных потребителей Республики Алтай, Алтайского края, Кемеровской, Новосибирской, Омской и Томской областей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поставок природного га</w:t>
            </w:r>
            <w:r>
              <w:t xml:space="preserve">за для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организация - собственник Единой системы газоснабжения,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расположенных в пределах Томской</w:t>
            </w:r>
            <w:r>
              <w:t xml:space="preserve"> газотранспортной системы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132(5)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6. Программы развития отдельных регионов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индивидуальной программы</w:t>
            </w:r>
            <w:r>
              <w:t xml:space="preserve"> социально-экономического развития Республики Алтай на 2020 - 2024 годы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качества жизни населения, сопоставимого со среднероссийским качеством жизни, обеспечение динамичных темпов экономического роста, основанного на эффективной реализации эконо</w:t>
            </w:r>
            <w:r>
              <w:t xml:space="preserve">мического, в том числе туристско-рекреационного, потенциала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Минспорт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индивидуальной программы</w:t>
            </w:r>
            <w:r>
              <w:t xml:space="preserve"> социально-экономического развития Республики Тыва на 2020 - 2024 годы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качества жизни населения, сопоставимого со среднероссийским качеством жизни, обеспечение динамичных темпов экономического роста, основанного на эффективной реализации эконом</w:t>
            </w:r>
            <w:r>
              <w:t xml:space="preserve">ического, в том числе туристско-рекреационного, потенциала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индивидуальной программы социально-экономического развития Алтайского края на 2020 - 2024 годы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</w:t>
            </w:r>
            <w:r>
              <w:t xml:space="preserve">ение достижения устойчивого роста уровня и качества жизни населения за счет повышения эффективности использования экономического потенциала, расширения экономических перспектив и конкурентоспособности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Минтруд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Росавтодор,</w:t>
            </w:r>
            <w:r/>
          </w:p>
          <w:p>
            <w:pPr>
              <w:pStyle w:val="4613"/>
            </w:pPr>
            <w:r>
              <w:t xml:space="preserve">Минстрой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программы</w:t>
            </w:r>
            <w:r>
              <w:t xml:space="preserve"> социально-экономического развития Кемеровской области - Кузбасса до 2024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качества жизни населения, сопоставимого со среднероссийским качеством жизни, обеспечение динамичных темпов экономического роста, основанного на эффективной реализаци</w:t>
            </w:r>
            <w:r>
              <w:t xml:space="preserve">и экономического, в том числе туристско-рекреационного, потенциала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Росводресурсы,</w:t>
            </w:r>
            <w:r/>
          </w:p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Минобрнауки России,</w:t>
            </w:r>
            <w:r/>
          </w:p>
          <w:p>
            <w:pPr>
              <w:pStyle w:val="4613"/>
            </w:pPr>
            <w:r>
              <w:t xml:space="preserve">Минздрав России,</w:t>
            </w:r>
            <w:r/>
          </w:p>
          <w:p>
            <w:pPr>
              <w:pStyle w:val="4613"/>
            </w:pPr>
            <w:r>
              <w:t xml:space="preserve">Росавтодор,</w:t>
            </w:r>
            <w:r/>
          </w:p>
          <w:p>
            <w:pPr>
              <w:pStyle w:val="4613"/>
            </w:pPr>
            <w:r>
              <w:t xml:space="preserve">Минцифры России,</w:t>
            </w:r>
            <w:r/>
          </w:p>
          <w:p>
            <w:pPr>
              <w:pStyle w:val="4613"/>
            </w:pPr>
            <w:r>
              <w:t xml:space="preserve">Минпросвещения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программы социально-экономического развития Байкальского муниципального образования до 2040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численности населения г. Байкальск</w:t>
            </w:r>
            <w:r>
              <w:t xml:space="preserve">а в 2030 году до 17 тыс. человек, создание 3,3 тыс. новых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предложений по утверждению и реализации программы социально-экономического развития Омской области с учетом действующих стратегических документов и с представлением соответствующих обоснований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достижения устойчивого роста уровня и </w:t>
            </w:r>
            <w:r>
              <w:t xml:space="preserve">качества жизни населения за счет повышения эффективности использования экономического потенциала, расширения экономических перспектив и конкурентоспособности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Минтранс</w:t>
            </w:r>
            <w:r>
              <w:t xml:space="preserve"> России,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Росводресурсы,</w:t>
            </w:r>
            <w:r/>
          </w:p>
          <w:p>
            <w:pPr>
              <w:pStyle w:val="4613"/>
            </w:pPr>
            <w:r>
              <w:t xml:space="preserve">Минспорт России,</w:t>
            </w:r>
            <w:r/>
          </w:p>
          <w:p>
            <w:pPr>
              <w:pStyle w:val="4613"/>
            </w:pPr>
            <w:r>
              <w:t xml:space="preserve">Минтруд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138(1).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индивидуальной программы</w:t>
            </w:r>
            <w:r>
              <w:t xml:space="preserve"> социально-экономического развития Республики Хакасия на 2025 - 2030 годы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достижения устойчивого роста уровня и качества жизни населения, повышение конкурентоспособности экономики региона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</w:t>
            </w:r>
            <w:r>
              <w:t xml:space="preserve">вития России,</w:t>
            </w:r>
            <w:r/>
          </w:p>
          <w:p>
            <w:pPr>
              <w:pStyle w:val="4613"/>
            </w:pPr>
            <w:r>
              <w:t xml:space="preserve">Правительство Республики Хакасия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138(1)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138(2).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индивидуальной программы</w:t>
            </w:r>
            <w:r>
              <w:t xml:space="preserve"> социально-экономического развития Республики Алтай на 2025 - 2030 годы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достижения устойчивого роста уровня и качества жизни населения, повышение экономического потенциала и конкурентоспособности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</w:t>
            </w:r>
            <w:r>
              <w:t xml:space="preserve">кономразвития России,</w:t>
            </w:r>
            <w:r/>
          </w:p>
          <w:p>
            <w:pPr>
              <w:pStyle w:val="4613"/>
            </w:pPr>
            <w:r>
              <w:t xml:space="preserve">Правительство Республики Алтай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138(2)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138(3).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индивидуальной программы</w:t>
            </w:r>
            <w:r>
              <w:t xml:space="preserve"> социально-экономического развития Алтайского края на 2025 - 2030 годы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достижения устойчивого роста уровня и качества жизни населения, повышение конкурентоспособности экономики региона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</w:t>
            </w:r>
            <w:r>
              <w:t xml:space="preserve">ия России,</w:t>
            </w:r>
            <w:r/>
          </w:p>
          <w:p>
            <w:pPr>
              <w:pStyle w:val="4613"/>
            </w:pPr>
            <w:r>
              <w:t xml:space="preserve">Правительство Алтайского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138(3)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138(4).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индивидуальной программы</w:t>
            </w:r>
            <w:r>
              <w:t xml:space="preserve"> социально-экономического развития Республики Тыва на 2025 - 2030 годы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достижения устойчивого роста уровня и качества жизни населения, повышение конкурентоспособности экономики региона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</w:t>
            </w:r>
            <w:r>
              <w:t xml:space="preserve">ия России,</w:t>
            </w:r>
            <w:r/>
          </w:p>
          <w:p>
            <w:pPr>
              <w:pStyle w:val="4613"/>
            </w:pPr>
            <w:r>
              <w:t xml:space="preserve">Правительство Республики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138(4)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138(5).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программы</w:t>
            </w:r>
            <w:r>
              <w:t xml:space="preserve"> социально-экономического развития Кемеровской области - Кузбасса до 2030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достижения устойчивого роста уровня и качества жизни населения, повышение конкурентоспособности экономики региона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</w:t>
            </w:r>
            <w:r>
              <w:t xml:space="preserve">омразвития России,</w:t>
            </w:r>
            <w:r/>
          </w:p>
          <w:p>
            <w:pPr>
              <w:pStyle w:val="4613"/>
            </w:pPr>
            <w:r>
              <w:t xml:space="preserve">Правительство Кемеровской области - Кузбасса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138(5)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138(6).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vAlign w:val="center"/>
            <w:textDirection w:val="lrTb"/>
            <w:noWrap w:val="false"/>
          </w:tcPr>
          <w:p>
            <w:pPr>
              <w:pStyle w:val="4613"/>
            </w:pPr>
            <w:r>
              <w:t xml:space="preserve">Внесение изменений в государственные программы субъектов Российской Федерации, входящих в состав Сибирского федерального округа, в части включения мероприятий, направленных на развитие инфраструктуры в опорных населенных пунктах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опорных населенных</w:t>
            </w:r>
            <w:r>
              <w:t xml:space="preserve"> пунктов;</w:t>
            </w:r>
            <w:r/>
          </w:p>
          <w:p>
            <w:pPr>
              <w:pStyle w:val="4613"/>
            </w:pPr>
            <w:r>
              <w:t xml:space="preserve">обеспеченность опорных населенных пунктов инфраструктурой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</w:t>
            </w:r>
            <w:r/>
          </w:p>
          <w:p>
            <w:pPr>
              <w:pStyle w:val="4613"/>
            </w:pPr>
            <w:r>
              <w:t xml:space="preserve">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138(6) введен распоряжением Правительства РФ</w:t>
            </w:r>
            <w:r>
              <w:t xml:space="preserve">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center"/>
              <w:outlineLvl w:val="2"/>
            </w:pPr>
            <w:r>
              <w:t xml:space="preserve">7. Поддержка инвестиционных проектов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Проведение мероприятия по популяризации механизма соглашений о защите и поощрении капитальных вложений с исполнительными органами субъектов Российской Федерации, входящих в состав Сибирского федерального округа, и предпринимательским сообществом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</w:t>
            </w:r>
            <w:r>
              <w:t xml:space="preserve">информированности бизнеса о возможностях и преимуществах соглашений о защите и поощрении капитальных вложений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протокол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Оказание государственной поддержки инвестиционным проектам в рамках соглашений о защите и поощрении капитальных вложений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поддержка инвестиционных проектов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заключение соглашений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Оказание государствен</w:t>
            </w:r>
            <w:r>
              <w:t xml:space="preserve">ной поддержки инвестиционным проектам, направленным на производство приоритетной продукции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возмещение недополученных доходов по кредитам, предоставленным российским организациям промышленности на цели реализации инвестиционных проектов, направленных на про</w:t>
            </w:r>
            <w:r>
              <w:t xml:space="preserve">изводство приоритетной продукции, по льготной процентной ставке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заключение соглашений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кредитные организации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Оказание государственной поддержки инвестиционным проектам в рамках механизма приоритетных инвестиционных проектов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актуализация перечня приоритетных инвестиционных проектов в целях развития лесного комплекса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 Минпромторга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</w:t>
            </w:r>
            <w:r>
              <w:t xml:space="preserve">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Проведение мероприятий (обучающих семинаров) с исполнительными органами субъектов Российской Федерации, входящих в состав Сибирского федерального округа, предпринимательскими и банковскими сообществами по популяризации механизма "фабрика проектного финанси</w:t>
            </w:r>
            <w:r>
              <w:t xml:space="preserve">рования"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осведомленности заинтересованных сторон инвестиционного процесса о механизме "фабрика проектного финансирования"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государственная корпорация развития "ВЭБ.РФ",</w:t>
            </w:r>
            <w:r/>
          </w:p>
          <w:p>
            <w:pPr>
              <w:pStyle w:val="4613"/>
            </w:pPr>
            <w:r>
              <w:t xml:space="preserve">исполнит</w:t>
            </w:r>
            <w:r>
              <w:t xml:space="preserve">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Проведение мероприятий с исполнительными органами субъектов Российской Федерации, входящих в состав Сибирского федерального округа, по формированию автономной некоммерческой организацией "Агентство стратегических инициатив по продвижению новых проектов" ре</w:t>
            </w:r>
            <w:r>
              <w:t xml:space="preserve">комендаций, способствующих улучшению показателей рейтинга качества жизни и национального инвестиционного рейтинга, а также по внедрению лучших региональных практик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улучшение показателей рейтинга качества жизни и национального инвестиционного рейтинга, внед</w:t>
            </w:r>
            <w:r>
              <w:t xml:space="preserve">рение лучших региональных практик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автономная некоммерческая организация "Агентство стратегических инициатив по продвижению новых проектов",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</w:t>
            </w:r>
            <w:r>
              <w:t xml:space="preserve">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сбора, анализа и верификации сведений о перспективной нагрузке и перспективном спросе на электрическую энергию, в том числе в рамках действующих и новых объектов, планируемых к созданию на территории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определение планов по перспективной нагрузке и перспективному спросу на электрическую энергию и мощность в энергосистемах субъектов Российской Федерации, входящих в состав Сибирского федерального округа, в рамках подготовки документов перспективного разви</w:t>
            </w:r>
            <w:r>
              <w:t xml:space="preserve">тия электроэнергетики, в том числе схемы и программы развития электроэнергетических систем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доклад</w:t>
            </w:r>
            <w:r/>
          </w:p>
          <w:p>
            <w:pPr>
              <w:pStyle w:val="4613"/>
              <w:jc w:val="both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организация, единолично осуществляющая централизованное оперативно-диспетчерское управление в пределах Единой энергетической системы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Актуализация нормативно-правовой базы субъектов Российской Федерации с партнерами зарубежных стран в части международных соглашений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актуализации нормативно-правовой базы субъектов Российской Федерации в части международного сотрудничества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МИД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Ведение реестра инвестиционных проектов, обеспечивающих достижение целевых показателей социально-экономического развития Сибирского федерального округа (за исключением включенных в настоящий план)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мониторинг реализации инвестиционных проектов и оказание го</w:t>
            </w:r>
            <w:r>
              <w:t xml:space="preserve">сударственной поддержки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147(1).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региональных программ цифровой трансформации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уровень "цифровой зрелости" ключевых отраслей экономики, социальной сферы и государственного управления 100 процентов к 2030 году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годовой отчет в федеральной государственной информационной системе коо</w:t>
            </w:r>
            <w:r>
              <w:t xml:space="preserve">рдинации информатизации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147(1)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147(2).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плана мероприятий по диверсификации экономики Кемеровской области - Кузбасса на 2021 - 2026 годы (комплекс инвестиционных проектов по созданию новых и развитию действующих производств в отраслях промышленности, не связанных с добычей угля)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160 и</w:t>
            </w:r>
            <w:r>
              <w:t xml:space="preserve">нвестиционных проектов в отраслях, не связанных с добычей угля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147(2)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 Правительства РФ от 2</w:t>
            </w:r>
            <w:r>
              <w:t xml:space="preserve">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147(3).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Внесение изменений в схемы территориального планирования субъектов Российской Федерации, входящих в состав Сибирского федерального округа, с учетом комплексного плана развития транспортной, энергетической, телекоммуникационной, социальной и иной инфраструк</w:t>
            </w:r>
            <w:r>
              <w:t xml:space="preserve">туры на период до 2036 года, необходимой для реализации национальных целей развития Российской Федерации на период до 2030 года и на перспективу до 2036 года, утвержденного распоряжением Правительства Российской Федерации от 29 августа 2025 г. N 2365-р, ак</w:t>
            </w:r>
            <w:r>
              <w:t xml:space="preserve">туализации отраслевых схем территориального планирования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совершенствование территориального планирования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</w:t>
            </w:r>
            <w:r/>
          </w:p>
          <w:p>
            <w:pPr>
              <w:pStyle w:val="4613"/>
            </w:pPr>
            <w:r>
              <w:t xml:space="preserve">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147(3)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147(4).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Внедрение технологий искусственного интеллекта в отраслях экономики, социальной сферы и государственном управлении на уровне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сокращение административных барьеров, препятствующих развитию технологий искусственного интеллекта; </w:t>
            </w:r>
            <w:r>
              <w:t xml:space="preserve">эффективная интеграция технологий искусственного интеллекта в образовательный процесс;</w:t>
            </w:r>
            <w:r/>
          </w:p>
          <w:p>
            <w:pPr>
              <w:pStyle w:val="4613"/>
            </w:pPr>
            <w:r>
              <w:t xml:space="preserve">повышение спроса на российские фундаментальные модели генеративного искусственного интеллекта, их приоритетное использование в государственном управлении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Минциф</w:t>
            </w:r>
            <w:r>
              <w:t xml:space="preserve">ры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147(4) введен распоряжением Правительства РФ от 27.06.2026 N 1643-р)</w:t>
            </w:r>
            <w:r/>
          </w:p>
        </w:tc>
      </w:tr>
    </w:tbl>
    <w:p>
      <w:pPr>
        <w:pStyle w:val="4613"/>
        <w:sectPr>
          <w:headerReference w:type="default" r:id="rId10"/>
          <w:headerReference w:type="first" r:id="rId11"/>
          <w:footerReference w:type="default" r:id="rId48"/>
          <w:footerReference w:type="first" r:id="rId49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1"/>
      </w:pPr>
      <w:r>
        <w:t xml:space="preserve">IV. Кластерное развитие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2"/>
      </w:pPr>
      <w:r>
        <w:t xml:space="preserve">1. Кластер "Лес, лесопереработка и лесохимия"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1.1. Целевые показатели (ответственные - Минпромторг России</w:t>
      </w:r>
      <w:r/>
    </w:p>
    <w:p>
      <w:pPr>
        <w:pStyle w:val="4615"/>
        <w:jc w:val="center"/>
      </w:pPr>
      <w:r>
        <w:t xml:space="preserve">и Ро</w:t>
      </w:r>
      <w:r>
        <w:t xml:space="preserve">слесхоз)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1304"/>
        <w:gridCol w:w="1077"/>
        <w:gridCol w:w="1191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91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2022 год</w:t>
            </w:r>
            <w:r/>
          </w:p>
          <w:p>
            <w:pPr>
              <w:pStyle w:val="4613"/>
              <w:jc w:val="center"/>
            </w:pPr>
            <w:r>
              <w:t xml:space="preserve">(факт)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Лесозаготовка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млн. куб. м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61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65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70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Пиломатериалы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куб. 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10620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10939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15456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ДСП (в том числе OSB)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куб. 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747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1147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Бумага и картон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433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1046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1077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Целлюлоза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1777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2727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136,1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295,6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389,6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6,8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1.2. Приоритетные инвестиционные проекты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97"/>
        <w:gridCol w:w="2381"/>
        <w:gridCol w:w="1247"/>
        <w:gridCol w:w="1531"/>
        <w:gridCol w:w="2665"/>
        <w:gridCol w:w="794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2778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проекта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Количество рабочих мест, тыс. штук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3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Объем инвестиций,</w:t>
            </w:r>
            <w:r/>
          </w:p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реализации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Биотехнологический комплекс по глубокой переработке древесины в Богучанском районе Красноярского края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2,5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150,8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акционерное общество "Краслесинвест",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"Тайга Богучаны"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производства акционерного общества "Группа Илим" в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115,7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акционерное общество "Группа Илим"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целлюлозного комбината в Енисейском районе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98,7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"Тайга"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618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Возобновление работы по деревообрабатывающему производству полного цикла в г. Красноярске общества с ограниченной ответственностью "Мебельная мануфактура Красноярска"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государственная корпорация развития "ВЭБ.РФ",</w:t>
            </w:r>
            <w:r/>
          </w:p>
          <w:p>
            <w:pPr>
              <w:pStyle w:val="4613"/>
            </w:pPr>
            <w:r>
              <w:t xml:space="preserve">Правительство Красноярского края </w:t>
            </w:r>
            <w:r>
              <w:t xml:space="preserve">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картонного потока в г. Братске акционерным обществом "Группа "Илим"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6 введен распоряжением</w:t>
            </w:r>
            <w:r>
              <w:t xml:space="preserve"> Правительства РФ от 04.09.2025 N 2448-р;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лиственного потока в г. Братске акционерным обществом "Группа "Илим"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7 введен распоряжением</w:t>
            </w:r>
            <w:r>
              <w:t xml:space="preserve"> Правительства РФ от 04.09.2025 N 2448-р;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инновационного кластера "Эковолокно"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1,087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82,5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8 введен распоряжением Правительства РФ от 27.06.2026 N 1643-р)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1.3. Мероприятия, обеспечивающие реализацию инвестиционных</w:t>
      </w:r>
      <w:r/>
    </w:p>
    <w:p>
      <w:pPr>
        <w:pStyle w:val="4615"/>
        <w:jc w:val="center"/>
      </w:pPr>
      <w:r>
        <w:t xml:space="preserve">проектов кластера</w:t>
      </w:r>
      <w:r/>
    </w:p>
    <w:p>
      <w:pPr>
        <w:pStyle w:val="4613"/>
        <w:jc w:val="both"/>
      </w:pPr>
      <w:r/>
      <w:r/>
    </w:p>
    <w:p>
      <w:pPr>
        <w:pStyle w:val="4613"/>
        <w:sectPr>
          <w:headerReference w:type="default" r:id="rId12"/>
          <w:headerReference w:type="first" r:id="rId13"/>
          <w:footerReference w:type="default" r:id="rId50"/>
          <w:footerReference w:type="first" r:id="rId51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85"/>
        <w:gridCol w:w="3190"/>
        <w:gridCol w:w="4398"/>
        <w:gridCol w:w="2971"/>
        <w:gridCol w:w="2743"/>
        <w:gridCol w:w="2057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846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объемов лесоустройства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доля площади лесов, на которых проведена таксация лесов и в отношении которых осуществлено проектирование мероприятий по охране, защите и воспроизводству в течение последних 10 лет, в площади лесов с интенсивным использованием лесов и ведением лесного хозя</w:t>
            </w:r>
            <w:r>
              <w:t xml:space="preserve">йства:</w:t>
            </w:r>
            <w:r/>
          </w:p>
          <w:p>
            <w:pPr>
              <w:pStyle w:val="4613"/>
            </w:pPr>
            <w:r>
              <w:t xml:space="preserve">на 2023 год - не менее 23 процентов;</w:t>
            </w:r>
            <w:r/>
          </w:p>
          <w:p>
            <w:pPr>
              <w:pStyle w:val="4613"/>
            </w:pPr>
            <w:r>
              <w:t xml:space="preserve">на 2024 год - не менее 25 процентов;</w:t>
            </w:r>
            <w:r/>
          </w:p>
          <w:p>
            <w:pPr>
              <w:pStyle w:val="4613"/>
            </w:pPr>
            <w:r>
              <w:t xml:space="preserve">на 2025 год и последующие годы - не менее 25 процентов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Рослесхоз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Проведение мероприятий по предупреждению распространения вредных организмов в целях обеспечения санитарной безопасности в лесах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недопущение ухудшения санитарного состояния лесов. Обеспечение доли мероприятий в объеме не менее 50 процентов от площади назнач</w:t>
            </w:r>
            <w:r>
              <w:t xml:space="preserve">енных санитарно-оздоровительных мероприятий в поврежденных лесных насаждениях ежегодно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Рослесхоз,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 в области лесных отношений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площади лесовосстановления, повышение качества и эффективности работ по лесовосстановлению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осуществление мероприятий по лесовосстановлению.</w:t>
            </w:r>
            <w:r/>
          </w:p>
          <w:p>
            <w:pPr>
              <w:pStyle w:val="4613"/>
            </w:pPr>
            <w:r>
              <w:t xml:space="preserve">Обеспечение баланса выбытия и воспроизводства лесов на уровне 100 процентов в 2025 году и 112 процентов к</w:t>
            </w:r>
            <w:r>
              <w:t xml:space="preserve"> 2030 году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Рослесхоз,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3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окружной программы по развитию рынка деревянного домостроения (включая многоэтажное)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рост объемов производства и реализации продукции деревообработки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окружная программа по развитию рынка деревянного домостроения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</w:t>
            </w:r>
            <w:r>
              <w:t xml:space="preserve">оссийской Федерации,</w:t>
            </w:r>
            <w:r/>
          </w:p>
          <w:p>
            <w:pPr>
              <w:pStyle w:val="4613"/>
            </w:pPr>
            <w:r>
              <w:t xml:space="preserve">Рослесхоз,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Минпромторг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Сохранение объема субсидирования транспортных затрат в рамках постановления Правительства Российской Федерации от 28 июля 2022 г. N 1347 "О государственной поддержке российских организаций промышленности в целях компенсации затрат на транспортировку промыш</w:t>
            </w:r>
            <w:r>
              <w:t xml:space="preserve">ленной продукции"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отгрузок на экспорт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Минфин России,</w:t>
            </w:r>
            <w:r/>
          </w:p>
          <w:p>
            <w:pPr>
              <w:pStyle w:val="4613"/>
            </w:pPr>
            <w:r>
              <w:t xml:space="preserve">акционерное общество "Российский экспортный центр"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совершенствованию системы таможенно-тарифного регулирования экспорта пиломатериалов при условии соответствия указанных предложений подходам по развитию и декриминализации лесного комплекса, закрепленным соответствующими решениями </w:t>
            </w:r>
            <w:r>
              <w:t xml:space="preserve">Президента Российской Федерации и Правительства Российской Федерации, включая недопущение использования пиломатериалов в качестве "товаров прикрытия" для вывоза под их видом леса-кругляка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отгрузок на экспорт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</w:t>
            </w:r>
            <w:r>
              <w:t xml:space="preserve">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Минфин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ФТС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вопроса о целесообразности продления срока действия постановления</w:t>
            </w:r>
            <w:r>
              <w:t xml:space="preserve"> Правительства Российской Федерации от 23 апреля 2022 г. N 747 "Об определении пунктов пропуска через государственную границу Российской Федерации для убытия с территории Российской Федерации отдельных видов товаров, указанных в пункте 1 постановления Прав</w:t>
            </w:r>
            <w:r>
              <w:t xml:space="preserve">ительства Российской Федерации от 15 июля 2010 г. N 521"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отгрузок на экспорт отдельных видов лесоматериалов, в том числе пиломатериалов, после 1 января 2024 г. благодаря возможности вывоза через дополнительные автомобильные пункты пропуска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</w:t>
            </w:r>
            <w:r>
              <w:t xml:space="preserve">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ФТС России,</w:t>
            </w:r>
            <w:r/>
          </w:p>
          <w:p>
            <w:pPr>
              <w:pStyle w:val="4613"/>
            </w:pPr>
            <w:r>
              <w:t xml:space="preserve">Минфин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</w:tbl>
    <w:p>
      <w:pPr>
        <w:pStyle w:val="4613"/>
        <w:sectPr>
          <w:headerReference w:type="default" r:id="rId14"/>
          <w:headerReference w:type="first" r:id="rId15"/>
          <w:footerReference w:type="default" r:id="rId52"/>
          <w:footerReference w:type="first" r:id="rId53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2"/>
      </w:pPr>
      <w:r>
        <w:t xml:space="preserve">2. Кластер "Переработка алюминия"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2.1. Целевые показатели (ответственный - Минпромторг России)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1304"/>
        <w:gridCol w:w="1077"/>
        <w:gridCol w:w="1191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91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2022 год</w:t>
            </w:r>
            <w:r/>
          </w:p>
          <w:p>
            <w:pPr>
              <w:pStyle w:val="4613"/>
              <w:jc w:val="center"/>
            </w:pPr>
            <w:r>
              <w:t xml:space="preserve">(факт)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restart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Производство - всего</w:t>
            </w:r>
            <w:r/>
          </w:p>
          <w:p>
            <w:pPr>
              <w:pStyle w:val="4613"/>
            </w:pPr>
            <w:r>
              <w:t xml:space="preserve">в том числе: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2389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2741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3041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Братский алюминиевый завод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1005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Красноярский алюминиевый завод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1008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1008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1008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Тайшетский алюминиевый завод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430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Богучанский алюминиевый завод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298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298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598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Тайшетская анодная фабрика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643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976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1561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Потребление внутреннего производства - всего</w:t>
            </w:r>
            <w:r/>
          </w:p>
          <w:p>
            <w:pPr>
              <w:pStyle w:val="4613"/>
            </w:pPr>
            <w:r>
              <w:t xml:space="preserve">в том числе: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алюминий (переработка)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137,7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149,5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189,9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Merge w:val="continue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обожженные аноды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643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976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1561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101,8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274,3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486,9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4,1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2.2. Приоритетные инвестиционные проекты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1247"/>
        <w:gridCol w:w="1134"/>
        <w:gridCol w:w="2665"/>
        <w:gridCol w:w="794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17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проекта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Количество рабочих мест, тыс. штук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Объем инвестиций,</w:t>
            </w:r>
            <w:r/>
          </w:p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реализации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Экологическая модернизация Братского алюминиевого завода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0,9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107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Минпромторг России совместно с заинтересованными организациями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Тайшетской анодной фабрики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116,5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Минпромторг России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2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Экологическая модернизация Красноярского алюминиевого завода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85,6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объединенная компания "РУСАЛ",</w:t>
            </w:r>
            <w:r/>
          </w:p>
          <w:p>
            <w:pPr>
              <w:pStyle w:val="4613"/>
            </w:pPr>
            <w:r>
              <w:t xml:space="preserve">Минпромторг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2032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новой сырьевой базы Ачинского глиноземного комбината: освоение Горячегорского месторождения нефелиновых руд, строительство транспортной инфраструктуры, строительство новой обогатительной фабрики, р</w:t>
            </w:r>
            <w:r>
              <w:t xml:space="preserve">азвитие добычи известняка на новом участке МИР-2. Строительство новой шламовой карты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объединенная компания "РУСАЛ",</w:t>
            </w:r>
            <w:r/>
          </w:p>
          <w:p>
            <w:pPr>
              <w:pStyle w:val="4613"/>
            </w:pPr>
            <w:r>
              <w:t xml:space="preserve">Минпромторг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2-й серии Богучанского алюминиевого завода (300000 тонн в год)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объединенная компания "РУСАЛ",</w:t>
            </w:r>
            <w:r/>
          </w:p>
          <w:p>
            <w:pPr>
              <w:pStyle w:val="4613"/>
            </w:pPr>
            <w:r>
              <w:t xml:space="preserve">публичное акционерное общество "РусГидро",</w:t>
            </w:r>
            <w:r/>
          </w:p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Тайшетского алюминиевого завода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1,16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84,1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Минпромторг России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6 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металлургического кластера (модернизация печей обжига электродов, увеличение мощностей для выпуска алюминиевой продукции)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7 введен </w:t>
            </w:r>
            <w:r>
              <w:t xml:space="preserve">распоряжением Правительства РФ от 04.09.2025 N 2448-р;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производства графитированных электродов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8 введен распоряжением Правительства РФ от 04.09.2025 N 2448-р)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2.3. Мероприятия, обеспечивающие реализацию</w:t>
      </w:r>
      <w:r/>
    </w:p>
    <w:p>
      <w:pPr>
        <w:pStyle w:val="4615"/>
        <w:jc w:val="center"/>
      </w:pPr>
      <w:r>
        <w:t xml:space="preserve">проектов кластера</w:t>
      </w:r>
      <w:r/>
    </w:p>
    <w:p>
      <w:pPr>
        <w:pStyle w:val="4613"/>
        <w:jc w:val="both"/>
      </w:pPr>
      <w:r/>
      <w:r/>
    </w:p>
    <w:p>
      <w:pPr>
        <w:pStyle w:val="4613"/>
        <w:sectPr>
          <w:headerReference w:type="default" r:id="rId16"/>
          <w:headerReference w:type="first" r:id="rId17"/>
          <w:footerReference w:type="default" r:id="rId54"/>
          <w:footerReference w:type="first" r:id="rId55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85"/>
        <w:gridCol w:w="3190"/>
        <w:gridCol w:w="4398"/>
        <w:gridCol w:w="2971"/>
        <w:gridCol w:w="2743"/>
        <w:gridCol w:w="2057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846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особой экономической зоны промышленно-производственного типа "Хакасская технологическая долина" в Республике Хакасия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территории с преференциальным режимом ведения предпринимательской деятельности в целях привлечения инвестиций, создания н</w:t>
            </w:r>
            <w:r>
              <w:t xml:space="preserve">овых рабочих мест, развития отраслей экономики, роста валового регионального продукта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постановление Правительства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особой экономической зоны промышленно-производственного типа "Красноярская технологическая долина"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территории с преференциальным режимом ведения предпринимательской деятельности в целях привлечения инвестиций, создания новых рабочих мест,</w:t>
            </w:r>
            <w:r>
              <w:t xml:space="preserve"> развития отраслей экономики, роста валового регионального продукта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ежегодный доклад 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вопроса дополнения перечня приоритетной для импорта продукции продукц</w:t>
            </w:r>
            <w:r>
              <w:t xml:space="preserve">ией машиностроительных отраслей, необходимой для реализации проектов развития, а также продления сроков выдачи кредитов, для которых применяется льготная процентная ставка на 1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привлечение финансирования для закупки технологического оборудования проект</w:t>
            </w:r>
            <w:r>
              <w:t xml:space="preserve">ов развития и экологических проектов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Минфин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Заключение и исполнение договоров об осуществлении технологического присоединения к электрическим сетям между инвесторами и сетевыми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технологическое присоединение к электрическим сетям в счет платы за технологическое присоединение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договоры об</w:t>
            </w:r>
            <w:r>
              <w:t xml:space="preserve"> осуществлении технологического присоединения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акционерное общество "РУСАЛ Ачинск",</w:t>
            </w:r>
            <w:r/>
          </w:p>
          <w:p>
            <w:pPr>
              <w:pStyle w:val="4613"/>
            </w:pPr>
            <w:r>
              <w:t xml:space="preserve">акционерное общество "РУСАЛ Красноярск",</w:t>
            </w:r>
            <w:r/>
          </w:p>
          <w:p>
            <w:pPr>
              <w:pStyle w:val="4613"/>
            </w:pPr>
            <w:r>
              <w:t xml:space="preserve">публичное акционерное общество "Россети",</w:t>
            </w:r>
            <w:r/>
          </w:p>
          <w:p>
            <w:pPr>
              <w:pStyle w:val="4613"/>
            </w:pPr>
            <w:r>
              <w:t xml:space="preserve">публичное акционерное общество "Россети Сибирь"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стимулированию производства продукции из алюминия с высокой добавленной стоимостью, в том числе посредством мер таможенно-тарифного регулирования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выпуска продукции из алюминия с высокой добавленной стоимостью не менее ч</w:t>
            </w:r>
            <w:r>
              <w:t xml:space="preserve">ем на 2 процента от общего объема переработки ежегодно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</w:tbl>
    <w:p>
      <w:pPr>
        <w:pStyle w:val="4613"/>
        <w:sectPr>
          <w:headerReference w:type="default" r:id="rId18"/>
          <w:headerReference w:type="first" r:id="rId19"/>
          <w:footerReference w:type="default" r:id="rId56"/>
          <w:footerReference w:type="first" r:id="rId57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2"/>
      </w:pPr>
      <w:r>
        <w:t xml:space="preserve">3. Кластер "Драгоценные металлы"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3.1. Целевые показатели (ответственные - Минпромторг России</w:t>
      </w:r>
      <w:r/>
    </w:p>
    <w:p>
      <w:pPr>
        <w:pStyle w:val="4615"/>
        <w:jc w:val="center"/>
      </w:pPr>
      <w:r>
        <w:t xml:space="preserve">и Минфин России)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1304"/>
        <w:gridCol w:w="1077"/>
        <w:gridCol w:w="1191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91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2022 год</w:t>
            </w:r>
            <w:r/>
          </w:p>
          <w:p>
            <w:pPr>
              <w:pStyle w:val="4613"/>
              <w:jc w:val="center"/>
            </w:pPr>
            <w:r>
              <w:t xml:space="preserve">(факт)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Добыча - всего</w:t>
            </w:r>
            <w:r/>
          </w:p>
          <w:p>
            <w:pPr>
              <w:pStyle w:val="4613"/>
            </w:pPr>
            <w:r>
              <w:t xml:space="preserve">в том числе: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тонн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58,1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127,3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золото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47,7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106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серебро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21,3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выпуска продукции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91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71,3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211,4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392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6,1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3.2. Приоритетные инвестиционные проекты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1247"/>
        <w:gridCol w:w="1134"/>
        <w:gridCol w:w="2665"/>
        <w:gridCol w:w="794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17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проекта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Количество рабочих мест, тыс. штук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Объем инвестиций,</w:t>
            </w:r>
            <w:r/>
          </w:p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реализации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освоение золоторудного месторождения "Сухой Лог"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1,3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322,3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"ПОЛЮС Сухой Лог"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добывающих и перерабатывающих мощностей месторождения Благодатное (золотоизвлекательная фабрика - 5)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64,8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акционерное общество "Полюс Красноярск"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</w:t>
            </w:r>
            <w:r>
              <w:t xml:space="preserve">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месторождения рудного золота "Гурбей"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"Техсервис"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и эксплуатация горно-обогатительного комбината на золоторудном месторождении "Светловское"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42,9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</w:t>
            </w:r>
            <w:r>
              <w:t xml:space="preserve">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и эксплуатация горно-обогатительного комбината "Красный"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35,3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горно-обогатительного комбината для производства золота на базе месторождения "Высокое" в Северо-Енисейском районе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"Соврудник"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предприятия по добыче золота на Кара-Бельдирском золоторудном месторождении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"Кара-Бельдир"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горнодобывающего и перерабатывающего предприятия на Ведугинском золоторудном месторождении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0,627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8 введен распоряжением Правительства РФ от 04.</w:t>
            </w:r>
            <w:r>
              <w:t xml:space="preserve">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горно-обогатительного комплекса на Федоровско-Кедровском золоторудном месторождении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 введен распоряжением Правительства РФ от 27.06.2026 N 1643-р)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3.3. Мероприятия, обеспечивающие реализацию</w:t>
      </w:r>
      <w:r/>
    </w:p>
    <w:p>
      <w:pPr>
        <w:pStyle w:val="4615"/>
        <w:jc w:val="center"/>
      </w:pPr>
      <w:r>
        <w:t xml:space="preserve">проектов кластера</w:t>
      </w:r>
      <w:r/>
    </w:p>
    <w:p>
      <w:pPr>
        <w:pStyle w:val="4613"/>
        <w:jc w:val="both"/>
      </w:pPr>
      <w:r/>
      <w:r/>
    </w:p>
    <w:p>
      <w:pPr>
        <w:pStyle w:val="4613"/>
        <w:sectPr>
          <w:headerReference w:type="default" r:id="rId20"/>
          <w:headerReference w:type="first" r:id="rId21"/>
          <w:footerReference w:type="default" r:id="rId58"/>
          <w:footerReference w:type="first" r:id="rId59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85"/>
        <w:gridCol w:w="3190"/>
        <w:gridCol w:w="4398"/>
        <w:gridCol w:w="2971"/>
        <w:gridCol w:w="2743"/>
        <w:gridCol w:w="2057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846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gridSpan w:val="5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24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мостового перехода через реку Витим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транспортной инфраструктурой инвестиционного проекта по разработке и освоению золоторудного месторождения "Сухой Лог" в рамках федерального проекта "Региональная и местная дорожная сеть" национального проекта "Инфраструктура для жизни"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</w:t>
            </w:r>
            <w:r>
              <w:t xml:space="preserve">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Капитальный ремонт мостового перехода через реку Бодайбо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транспортной инфраструктурой инвестиционного проекта по разработке и освоению золоторудного месторождения "Сухой Лог" в рамках федерального проекта "Региональная и местная дорожная сеть" </w:t>
            </w:r>
            <w:r>
              <w:t xml:space="preserve">национального проекта "Инфраструктура для жизни"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Приведение в нормативное состояние автомобильных дорог и искусственных сооружений на маршруте Таксимо - Бодайбо - Кропоткин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транспортной инфраструктурой инвестиционного проекта по разработке и освоению золоторудного месторождения "Сухой Лог" в </w:t>
            </w:r>
            <w:r>
              <w:t xml:space="preserve">рамках федерального проекта "Региональная и местная дорожная сеть" национального проекта "Инфраструктура для жизни"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</w:t>
            </w:r>
            <w:r>
              <w:t xml:space="preserve">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автомобильной дороги "Енисейск - Высокогорский" км 10 - 57 в Енисейском районе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финансирования в рамках государственной программы Красноярского края</w:t>
            </w:r>
            <w:r/>
          </w:p>
          <w:p>
            <w:pPr>
              <w:pStyle w:val="4613"/>
            </w:pPr>
            <w:r>
              <w:t xml:space="preserve">"Развитие транспортной системы"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</w:t>
            </w:r>
            <w:r>
              <w:t xml:space="preserve">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Заключение и исполнение договора об осуществлении технологического присоединения к электрическим сетям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технологическое присоединение к электрическим сетям в счет платы за технологическое присоединени</w:t>
            </w:r>
            <w:r>
              <w:t xml:space="preserve">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договор об осуществлении технологического присоединения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общество с ограниченной ответственностью "ПОЛЮС Сухой Лог",</w:t>
            </w:r>
            <w:r/>
          </w:p>
          <w:p>
            <w:pPr>
              <w:pStyle w:val="4613"/>
            </w:pPr>
            <w:r>
              <w:t xml:space="preserve">публичное акционерное общество "Россети"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бюджетного финансирования на капитальный ремонт и содержание автомобильной дороги регионального значения Епишино - Северо - Енисейский до нормативных значений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финансирования в рамках государственной программы Красноярского края</w:t>
            </w:r>
            <w:r/>
          </w:p>
          <w:p>
            <w:pPr>
              <w:pStyle w:val="4613"/>
            </w:pPr>
            <w:r>
              <w:t xml:space="preserve">"Разв</w:t>
            </w:r>
            <w:r>
              <w:t xml:space="preserve">итие транспортной системы"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государственная программа Красноярского края "Развитие транспортной системы"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Заключение и исполнение договора об осуществлении технологического присоединения к электрическим сетям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тех</w:t>
            </w:r>
            <w:r>
              <w:t xml:space="preserve">нологическое присоединение к электрическим сетям в счет платы за технологическое присоединение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договор об осуществлении технологического присоединения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акционерное общество "ПОЛЮС Красноярск",</w:t>
            </w:r>
            <w:r/>
          </w:p>
          <w:p>
            <w:pPr>
              <w:pStyle w:val="4613"/>
            </w:pPr>
            <w:r>
              <w:t xml:space="preserve">публичное акционерное общество "Россети"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Приведение в нормативное состояние автомобильных дорог Нижнеудинск - Гурбей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пропускной способности автодорог, повышение параметров грузооборота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</w:t>
            </w:r>
            <w:r>
              <w:t xml:space="preserve">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и направление ходатайства о переводе земельного участка месторождений Гурбей и Светино из лесного фонда в категорию земель промышленности в целях строительства золотоизвлекательной фабрики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золотоизвлекательной фабрики мощностью 3 м</w:t>
            </w:r>
            <w:r>
              <w:t xml:space="preserve">лн. тонн в год и освоение Гурбейского месторождения и месторождения Светино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постановление Правительства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 Минприроды России,</w:t>
            </w:r>
            <w:r/>
          </w:p>
          <w:p>
            <w:pPr>
              <w:pStyle w:val="4613"/>
            </w:pPr>
            <w:r>
              <w:t xml:space="preserve">Рослесхоз,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"ТехСервис"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</w:tbl>
    <w:p>
      <w:pPr>
        <w:pStyle w:val="4613"/>
        <w:sectPr>
          <w:headerReference w:type="default" r:id="rId22"/>
          <w:headerReference w:type="first" r:id="rId23"/>
          <w:footerReference w:type="default" r:id="rId60"/>
          <w:footerReference w:type="first" r:id="rId61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2"/>
      </w:pPr>
      <w:r>
        <w:t xml:space="preserve">4. Кластер "Цветные и редкоземельные металлы"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4.1. Целевые показатели (ответственные - Минпромторг России</w:t>
      </w:r>
      <w:r/>
    </w:p>
    <w:p>
      <w:pPr>
        <w:pStyle w:val="4615"/>
        <w:jc w:val="center"/>
      </w:pPr>
      <w:r>
        <w:t xml:space="preserve">и Минприроды России)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1304"/>
        <w:gridCol w:w="1077"/>
        <w:gridCol w:w="1191"/>
      </w:tblGrid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2022 год (факт)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Добыча - всего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146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378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639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в том числе: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медь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16,7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258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никель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101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кобальт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3,9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цинк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107,5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223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222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свинец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21,6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42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молибден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3,4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ниобий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2,66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2,66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тантал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0,259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0,259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цирконий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4,5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выпуска продукции - всего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294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481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в том числе: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медь в концентрате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199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никель в концентрате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65,4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кобальт в концентрате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3,5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цинк в концентрате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174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свинец в концентрате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24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молибден в концентрате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1,7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ниобий и тантал в концентрате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2,75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2,75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цирконовый концентрат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1000,8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1465,2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11,8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4.2. Приоритетные инвестиционные проекты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1247"/>
        <w:gridCol w:w="1134"/>
        <w:gridCol w:w="2665"/>
        <w:gridCol w:w="794"/>
      </w:tblGrid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проекта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Количество рабочих мест, тыс. штук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Объем инвестиций, млрд. рублей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реализации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месторождений металлов платиновой группы Черногорское и Норильск-1 (южная часть)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521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общество с ограниченной ответственностью "Черногорская ГРК", общество с ограниченной ответственностью "Русская платина"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2077</w:t>
            </w:r>
            <w:r>
              <w:t xml:space="preserve">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Рудник "Скалистый". Вскрытие, подготовка и отработка богатых и медистых руд залежи С-2 Талнахского месторождения и С-5, С-5д, С-6, С-6л Октябрьского месторождения. 3ПК, 4ПК, 5ПК и 6ПК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195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публичное акционерное общество "</w:t>
            </w:r>
            <w:r>
              <w:t xml:space="preserve">Горно-металлургическая компания "Норильский никель"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и расширение Талнахской обогатительной фабрики публичного акционерного общества "Горно-металлургическая компания "Норильский никель"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публичное акционерное общество "Горно-металлургическая компания "Норил</w:t>
            </w:r>
            <w:r>
              <w:t xml:space="preserve">ьский никель"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Проект комплексного развития рудника "Таймырский" Заполярного филиала публичного акционерного общества "Горно-металлургическая компания "Норильский никель"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публичное акционерное общество "Г</w:t>
            </w:r>
            <w:r>
              <w:t xml:space="preserve">орно-металлургическая компания "Норильский никель"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производства батарейных металлов на базе медно-порфирового месторождения Ак-Суг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183,8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2050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компании - производителя батарейных металлов. Строительство горно-обогатительного комбината на базе месторождений Кингашское и Верхнекингашское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120,4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общество с ограниченной ответственностью "Управляющая компани</w:t>
            </w:r>
            <w:r>
              <w:t xml:space="preserve">я "Интергео"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Кызыл-Таштыгского месторождения полиметаллических руд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Комплексный проект "Южный кластер"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74,8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общество с ограниченной ответственностью "Медвежий ручей", публичное акционерное общество "Горно-металлургическая компания "Норильский никель"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Промышленная разработка Туганского ильменит-циркониевого россыпного месторождения. Этап 2. Строительство горно-обогатительного комбината производственной мощностью 6,9 млн. тонн в год (линиями по 2,3 млн. тонн </w:t>
            </w:r>
            <w:r>
              <w:t xml:space="preserve">в год)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49,8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Администрация Томской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2032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6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</w:t>
            </w:r>
            <w:r>
              <w:t xml:space="preserve">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Промышленная разработка Зашихинского редкометалльного месторождения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0,95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Корбалихинского месторождения полиметаллических руд (2 и 3 очереди) для увеличения объемов добычи руды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0,303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24,7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 акционерное общество "Сибирь-Полиметаллы"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</w:t>
            </w:r>
            <w:r>
              <w:t xml:space="preserve">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Кызык-Чадрского месторождения золото-медно-молибденовых руд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Солчурского полиметаллического месторождения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Тастыгского месторождения лития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33,6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завода невзрывчатых компонентов эмульсионных взрывчатых веществ на территории Республики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16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Проект по добыче медной руды в Туруханском районе Красноярского края "Полярная медь"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17 введен распоряжением</w:t>
            </w:r>
            <w:r>
              <w:t xml:space="preserve"> Правительства РФ от 27.06.2026 N 1643-р)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4.3. Мероприятия, обеспечивающие реализацию</w:t>
      </w:r>
      <w:r/>
    </w:p>
    <w:p>
      <w:pPr>
        <w:pStyle w:val="4615"/>
        <w:jc w:val="center"/>
      </w:pPr>
      <w:r>
        <w:t xml:space="preserve">проектов кластера</w:t>
      </w:r>
      <w:r/>
    </w:p>
    <w:p>
      <w:pPr>
        <w:pStyle w:val="4613"/>
        <w:jc w:val="both"/>
      </w:pPr>
      <w:r/>
      <w:r/>
    </w:p>
    <w:p>
      <w:pPr>
        <w:pStyle w:val="4613"/>
        <w:sectPr>
          <w:headerReference w:type="default" r:id="rId24"/>
          <w:headerReference w:type="first" r:id="rId25"/>
          <w:footerReference w:type="default" r:id="rId62"/>
          <w:footerReference w:type="first" r:id="rId63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85"/>
        <w:gridCol w:w="3190"/>
        <w:gridCol w:w="4398"/>
        <w:gridCol w:w="2971"/>
        <w:gridCol w:w="2743"/>
        <w:gridCol w:w="2057"/>
      </w:tblGrid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по развитию предприятий полного цикла переработки руд цветных и редкоземельных металлов с получением всей номенклатуры попутных компонентов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объемов переработки руд цветных и редкоземельных металлов (рений, висмут, скандий </w:t>
            </w:r>
            <w:r>
              <w:t xml:space="preserve">и др.)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Минприроды России, Роснедра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Инициирование проведения аукционов на право пользования недрами в целях разработки Арысканского, Солчурского, Карасугского, Улуг-Танзекского месторождений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проведение аукционов на право пользования недрами, освоение месторождений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Роснедра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Заключение и исполнение договора об осуществлении технологического присоединения электросетевого хозяйства горно-обогатительного комбината на базе медно-порфирового месторождения Ак-Суг к электрическим сетям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технологического присоединения к эле</w:t>
            </w:r>
            <w:r>
              <w:t xml:space="preserve">ктрическим сетям горно-обогатительного комбината на базе медно-порфирового месторождения Ак-Суг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Правительство Республики Тыва, публичное акционерное общество "Россети" совмес</w:t>
            </w:r>
            <w:r>
              <w:t xml:space="preserve">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22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66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и направление ходатайства о переводе Кусковско-Ширяевского земельного участка Туганского месторождения из лесного фонда в категорию земель промышленности в целях строительства горно-обогатительного комбината мощностью 6,9 млн. тонн в год рудных </w:t>
            </w:r>
            <w:r>
              <w:t xml:space="preserve">песков и освоение Кусковско-Ширяевского участка Туганского месторождения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4613"/>
            </w:pPr>
            <w:r>
              <w:t xml:space="preserve">перевод Кусковско-Ширяевского земельного участка Туганского месторождения из лесного фонда в категорию земель промышленности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4613"/>
            </w:pPr>
            <w:r>
              <w:t xml:space="preserve">распоряжение Правительства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4613"/>
            </w:pPr>
            <w:r>
              <w:t xml:space="preserve">Администра</w:t>
            </w:r>
            <w:r>
              <w:t xml:space="preserve">ция Томской области, акционерное общество "Туганский горно-обогатительный комбинат "Ильменит", Рослесхоз, Минприроды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</w:tbl>
    <w:p>
      <w:pPr>
        <w:pStyle w:val="4613"/>
        <w:sectPr>
          <w:headerReference w:type="default" r:id="rId26"/>
          <w:headerReference w:type="first" r:id="rId27"/>
          <w:footerReference w:type="default" r:id="rId64"/>
          <w:footerReference w:type="first" r:id="rId65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2"/>
      </w:pPr>
      <w:r>
        <w:t xml:space="preserve">5. Кластер "Туризм"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5.1. Целевые показатели (ответственный -</w:t>
      </w:r>
      <w:r/>
    </w:p>
    <w:p>
      <w:pPr>
        <w:pStyle w:val="4615"/>
        <w:jc w:val="center"/>
      </w:pPr>
      <w:r>
        <w:t xml:space="preserve">Минэкономразвития России)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1304"/>
        <w:gridCol w:w="1077"/>
        <w:gridCol w:w="1191"/>
      </w:tblGrid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2022 год (факт)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Количество лиц, размещенных в коллективных средствах размещения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млн. чел.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6,1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11,1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Количество номеров в коллективных средствах размещения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85000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95000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112000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152,7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273,8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34,3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5.2. Приоритетные инвестиционные проекты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1247"/>
        <w:gridCol w:w="1134"/>
        <w:gridCol w:w="2665"/>
        <w:gridCol w:w="794"/>
      </w:tblGrid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проекта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Количество рабочих мест, тыс. штук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Объем инвестиций, млрд. рублей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реализации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инвестиционных проектов на территории особой экономической зоны туристско-рекреационного типа "Горная Шория"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4,08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41,6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Комплексный туристический проект "Байкальская слобода", 3500 номеров, Иркутская область, Иркутский район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40,9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 акционерное общество "Корпорация Туризм.РФ"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всесезонного курорта "Манжерок"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Алтай, публичное акционерное общество "Россети",</w:t>
            </w:r>
            <w:r/>
          </w:p>
          <w:p>
            <w:pPr>
              <w:pStyle w:val="4613"/>
            </w:pPr>
            <w:r>
              <w:t xml:space="preserve">публичное акционерное общество "Газпром",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"ВК Манжерок"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Многофункциональный туристический комплекс "Затундра"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публичное акционерное общество "Горно-металлургическая компания "Норильский никель", общество с ограниченной ответственностью "Васта Дискавери"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</w:t>
            </w:r>
            <w:r>
              <w:t xml:space="preserve">итие особой экономической зоны туристско-рекреационного типа "Ворота Байкала"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2056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6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</w:t>
            </w:r>
            <w:r>
              <w:t xml:space="preserve">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Комплексное развитие горнолыжного курорта "Гладенькая"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Хакасия, общество с ограниченной ответственностью "Проект "Долина Бабик"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многофункционального комплекса "Всесезонный курорт в Алтайском крае" на территории особой экономической зоны туристско-рекреационного типа "Бирюзовая Катунь"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0,549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6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Международного центра водных ресурсов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гостиничного комплекса "Altay Wellness Village. Алтай Велнес Вилладж" на берегу Телецкого озера в Турочакском районе Республики Алтай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Алтай, публичное акционерное общество "Россети",</w:t>
            </w:r>
            <w:r/>
          </w:p>
          <w:p>
            <w:pPr>
              <w:pStyle w:val="4613"/>
            </w:pPr>
            <w:r>
              <w:t xml:space="preserve">общество с ограниченной от</w:t>
            </w:r>
            <w:r>
              <w:t xml:space="preserve">ветственностью "Алтай Виладж"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Комплексный туристический проект "Многофункциональный комплекс Сибэкспоцентр"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 общество с ограниченной ответственностью "Гранд Байкал"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проекта "Горнолыжный курорт "ALTAY RESTART" на туристской территории "Белокуриха Горная"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0,176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 общество с ограниченной ответственностью "Гранд-Крио Алтай"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объектов туристской инфраструктуры в рамках реализации концепции развития игорной зоны "Сибирская монета"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0,437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6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 Правительства РФ от 04.09.2025 N 2448-р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горнолыжного курорта "Гора Соболиная"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0,065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16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Создание, реконструкция, содержание и эксплуатация муниципального имущества, предназначенного для организации отдыха граждан и туризма на территории городской зоны отдыха "Зеленый остров"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0,023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2049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17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гостиницы категории 3 звезды возле храма "Тубтен Шедруб Линг" (г. Кызыл)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18 введен распоряжением</w:t>
            </w:r>
            <w:r>
              <w:t xml:space="preserve"> Правительства РФ от 27.06.2026 N 1643-р)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5.3. Мероприятия, обеспечивающие реализацию</w:t>
      </w:r>
      <w:r/>
    </w:p>
    <w:p>
      <w:pPr>
        <w:pStyle w:val="4615"/>
        <w:jc w:val="center"/>
      </w:pPr>
      <w:r>
        <w:t xml:space="preserve">проектов кластера</w:t>
      </w:r>
      <w:r/>
    </w:p>
    <w:p>
      <w:pPr>
        <w:pStyle w:val="4613"/>
        <w:jc w:val="both"/>
      </w:pPr>
      <w:r/>
      <w:r/>
    </w:p>
    <w:p>
      <w:pPr>
        <w:pStyle w:val="4613"/>
        <w:sectPr>
          <w:headerReference w:type="default" r:id="rId28"/>
          <w:headerReference w:type="first" r:id="rId29"/>
          <w:footerReference w:type="default" r:id="rId66"/>
          <w:footerReference w:type="first" r:id="rId67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12"/>
        <w:gridCol w:w="3919"/>
        <w:gridCol w:w="4042"/>
        <w:gridCol w:w="2572"/>
        <w:gridCol w:w="2694"/>
        <w:gridCol w:w="2205"/>
      </w:tblGrid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туристской территории "Белокуриха Горная"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обеспечивающей инфраструктуры территории, привлечение инвестиций в создание туристкой инфраструктуры, создание новых рабочих мест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 акционерное общество "Корпорация Туризм.РФ", инвесто</w:t>
            </w:r>
            <w:r>
              <w:t xml:space="preserve">ры туристской территории "Белокуриха Горная"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нового аэровокзального комплекса горнолыжного курорта "Шерегеш"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авиационной транспортной доступности горнолыжного курорта "Шерегеш"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Минтранс Р</w:t>
            </w:r>
            <w:r>
              <w:t xml:space="preserve">оссии,</w:t>
            </w:r>
            <w:r/>
          </w:p>
          <w:p>
            <w:pPr>
              <w:pStyle w:val="4613"/>
            </w:pPr>
            <w:r>
              <w:t xml:space="preserve">Росавиация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2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особой экономической зоны туристско-рекреационного типа в Кемеровской области - Кузбассе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территории с преференциальным режимом ведения предпринимательской деятельности в целях привлечения инвестиций, создания новых рабочих мест, развития </w:t>
            </w:r>
            <w:r>
              <w:t xml:space="preserve">отраслей экономики, роста валового регионального продукта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постановление Правительства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игорной зоны "Сибирская монета"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обеспечивающей инфраструктуры территории в целях привлечения инвестиций, создания новых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 инвесторы игорной зоны "Сибирская монета</w:t>
            </w:r>
            <w:r>
              <w:t xml:space="preserve">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системы многофункциональных сервисных зон в рамках развития придорожной инфраструктуры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условий для развития автомобильного туризма и обеспечения туристов необходимым уровнем сервиса. Стимулирование развити</w:t>
            </w:r>
            <w:r>
              <w:t xml:space="preserve">я автомобильных путешествий. Увеличение числа поездок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 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особой экономической зоны туристско-рекреационного типа "Бирюзовая Катунь"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территории с преференциальным режимом ведения предпринимательской деятельности в целях привлечения инвестиций, создания новых рабочих мест, развития отраслей эконо</w:t>
            </w:r>
            <w:r>
              <w:t xml:space="preserve">мики, роста валового регионального продукта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 резиденты особой экономической зоны туристско-рекреационного типа "Бирюзовая Катунь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особой экономической зоны туристско-рекреационного типа "Ворота Байкала"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территории с преференциальным режимом ведения предпринимательской деятельности в целях привлечения инвестиций, создания</w:t>
            </w:r>
            <w:r>
              <w:t xml:space="preserve"> новых рабочих мест, развития отраслей экономики, роста валового регионального продукта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Подключение к существующим сетям обеспечивающей инфраструктуры г. Байкальска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подведение внутриплощадочных сетей водоснабжения, водоотведения, энергоснабжения, дорожного хозяйства, железнодорожных путей г. Байкальска для реализации проекта создания Междунар</w:t>
            </w:r>
            <w:r>
              <w:t xml:space="preserve">одного центра водных ресурсов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 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Подключение к существующим сетям обеспечивающей инфраструктуры г. Иркутска (внутриплощадочные сети водоснабжения, водоотведения, энергоснабжения, канализования)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подключение внутриплощадочных сетей водоснабжения, водоотведения, энергоснабжения, канализования г. Иркутска для комплексного туристического проекта "Многофункциональный комплекс Сибэкспоцентр"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</w:t>
            </w:r>
            <w:r>
              <w:t xml:space="preserve">сти, акционерное общество "Корпорация Туризм.РФ"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объектов обеспечивающей инфраструктуры для реализации инвестиционного проекта "Многофункциональный туристический комплекс "Затундра"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инфраструктурное обеспечение реализации инвестиционного проекта "Многофункциональный туристический комплекс "Затун</w:t>
            </w:r>
            <w:r>
              <w:t xml:space="preserve">дра"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акционерное общество "Корпорация Туризм.РФ", Росавтодор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средств размещения в рамках реализации инвестиционного проекта "Многофункциональн</w:t>
            </w:r>
            <w:r>
              <w:t xml:space="preserve">ый туристический комплекс "Затундра"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некапитальных средств размещения в рамках реализации инвестиционного проекта "Многофункциональный туристический комплекс "Затундра"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публичное акционерное общество "Горно-металлургическая компания "Норильский никель", общество с ограниченной ответственностью "Васта Дискавери"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Определение варианта газификации спортивно-туристического компле</w:t>
            </w:r>
            <w:r>
              <w:t xml:space="preserve">кса "Шерегеш" с учетом перспектив реализации на указанной территории масштабных инвестиционных проектов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определение варианта газификации спортивно-туристического комплекса "Шерегеш", позволяющего обеспечить предполагаемые к реализации перспективные инвести</w:t>
            </w:r>
            <w:r>
              <w:t xml:space="preserve">ционные проекты необходимыми мощностями газоснабжения.</w:t>
            </w:r>
            <w:r/>
          </w:p>
          <w:p>
            <w:pPr>
              <w:pStyle w:val="4613"/>
            </w:pPr>
            <w:r>
              <w:t xml:space="preserve">Определение сроков, этапности, стоимости и источников финансирования выполнения публичным акционерным обществом "Газпром" необходимых мероприятий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</w:t>
            </w:r>
            <w:r>
              <w:t xml:space="preserve">во Кемеровской области - Кузбасса,</w:t>
            </w:r>
            <w:r/>
          </w:p>
          <w:p>
            <w:pPr>
              <w:pStyle w:val="4613"/>
            </w:pPr>
            <w:r>
              <w:t xml:space="preserve">Минэнерго России, 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Развитие национальных туристических маршрутов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и утверждение не менее 5 национальных туристических маршрутов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приказ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и ведение единого событийного календаря "Большая Сибирь"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условий для эффективного наращивания туристического потока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Межрегиональная ассоциация "Сибирское соглашение", исполнительные органы суб</w:t>
            </w:r>
            <w:r>
              <w:t xml:space="preserve">ъектов Российской Федерации,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средств размещения (гостиниц) в хозяйственной зоне природного парка "Ергаки", Ермаковский район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средств размещения на территории хозяйственной зоны природного парка "Ергаки"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акционерное общество "Корпорация Туризм.РФ", инвесторы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гостиничного комплекса 5 звезд в г. Красноярске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гостиничного комплекса 5 звезд, автомобильной парк</w:t>
            </w:r>
            <w:r>
              <w:t xml:space="preserve">овки, офисно-делового центра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общество с ограниченной ответственностью "Сибинвест"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загородного отеля 5 звезд в Красноярском крае, г. Дивногорск, залив Шумиха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загородного отеля 5 звезд в Красноярском крае, г. Дивногорск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акционерное общество "Корпорация Туризм.РФ", общество с ограниченной ответственностью "САТИН ГРУПП"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гостиничного комплекса 4 звезды на территории фанпарка "Бобровый лог" в г. Красноярске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гостиничного комплекса 4 звезды на территории фанпарка "Бобровый лог" в г. Красноярске, в том числе спорт-отеля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</w:t>
            </w:r>
            <w:r>
              <w:t xml:space="preserve">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общество с ограниченной ответственностью "Ренонс"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гостиничного комплекса 4 звезды в ландшафтном парке "Юдинская долина" в г. Красноярске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гостиничного комплекса 4 звезды в </w:t>
            </w:r>
            <w:r>
              <w:t xml:space="preserve">ландшафтном парке "Юдинская долина" в г. Красноярске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Минэкономразвития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 акционерное общество "РУСАЛ"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аэровокзального комплекса "Аэропорт Горно-Алтайск"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обслуживаемого пассажиропотока в 3 раза к уровню 2021 года (до 450 пассажиров в час)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разрешение на ввод объекта в эксплуатацию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Алтай,</w:t>
            </w:r>
            <w:r/>
          </w:p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Роса</w:t>
            </w:r>
            <w:r>
              <w:t xml:space="preserve">виация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20 введен распоряжением Правительства РФ от 04.09.2025 N 2448-р)</w:t>
            </w:r>
            <w:r/>
          </w:p>
        </w:tc>
      </w:tr>
    </w:tbl>
    <w:p>
      <w:pPr>
        <w:pStyle w:val="4613"/>
        <w:sectPr>
          <w:headerReference w:type="default" r:id="rId30"/>
          <w:headerReference w:type="first" r:id="rId31"/>
          <w:footerReference w:type="default" r:id="rId68"/>
          <w:footerReference w:type="first" r:id="rId69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2"/>
      </w:pPr>
      <w:r>
        <w:t xml:space="preserve">6. Кластер "Сельское хозяйство и пищевая промышленность"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6.1. Целевые показатели (ответственные исполнители -</w:t>
      </w:r>
      <w:r/>
    </w:p>
    <w:p>
      <w:pPr>
        <w:pStyle w:val="4615"/>
        <w:jc w:val="center"/>
      </w:pPr>
      <w:r>
        <w:t xml:space="preserve">высшие исполнительные органы субъектов Российской Федерации,</w:t>
      </w:r>
      <w:r/>
    </w:p>
    <w:p>
      <w:pPr>
        <w:pStyle w:val="4615"/>
        <w:jc w:val="center"/>
      </w:pPr>
      <w:r>
        <w:t xml:space="preserve">входящих в состав Сибирского федерального округа)</w:t>
      </w:r>
      <w:r/>
    </w:p>
    <w:p>
      <w:pPr>
        <w:pStyle w:val="4613"/>
        <w:jc w:val="center"/>
      </w:pPr>
      <w:r/>
      <w:r/>
    </w:p>
    <w:p>
      <w:pPr>
        <w:pStyle w:val="4613"/>
        <w:jc w:val="center"/>
      </w:pPr>
      <w:r>
        <w:t xml:space="preserve">(в ред. распоряжения Правительства РФ</w:t>
      </w:r>
      <w:r/>
    </w:p>
    <w:p>
      <w:pPr>
        <w:pStyle w:val="4613"/>
        <w:jc w:val="center"/>
      </w:pPr>
      <w:r>
        <w:t xml:space="preserve">от 04.09.2025 N 2448-р)</w:t>
      </w:r>
      <w:r/>
    </w:p>
    <w:p>
      <w:pPr>
        <w:pStyle w:val="4613"/>
        <w:jc w:val="center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1304"/>
        <w:gridCol w:w="1077"/>
        <w:gridCol w:w="1191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91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 (факт.)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Индекс производства продукции агропромышленного комплекса (в сопоставимых ценах) к уровню 2021 года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процентов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104,4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107,5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119,8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экспорта продукции агропромышленного комплекса к показателю 2021 года (в номинальных ценах)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долларов США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2,579</w:t>
            </w:r>
            <w:r/>
          </w:p>
          <w:p>
            <w:pPr>
              <w:pStyle w:val="4613"/>
              <w:jc w:val="center"/>
            </w:pPr>
            <w:r>
              <w:t xml:space="preserve">(</w:t>
            </w:r>
            <w:r>
              <w:t xml:space="preserve">в текущих ценах)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2,5892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3,2645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Среднемесячная начисленная заработная плата работников сельского хозяйства (без субъектов малого предпринимательства)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43063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53146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64879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25,39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128,99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0,674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3,018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6.2. Приоритетные инвестиционные проекты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1247"/>
        <w:gridCol w:w="1134"/>
        <w:gridCol w:w="2665"/>
        <w:gridCol w:w="794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17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проекта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Количество рабочих мест, тыс. штук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Объем инвестиций, млрд. рублей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реализации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gridSpan w:val="5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6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производственных мощностей сельскохозяйственного производственного кооператива "Усольский свинокомплекс"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2 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3 - 7.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6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Исключены. - Распоряжение Правительства РФ от 04.09.2025 N 2448-р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тепличного комбината для производства овощей и зеленых культур в защищенном грунте с инженерными коммуникациями в Емельяновском районе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0,45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животноводческого комплекса на 2658 голов в Минусинском районе Красноярского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9 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молочной фермы в районе с. Яново Заринского района Алтайского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0,203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6,99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10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молочного завода с производительностью 1150 тонн молока в сутки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0,624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34,5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комплекса по производству мяса индейки в Алтайском крае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12 введен распоряжением Правительства РФ от 04.09.2025 N 2448-р;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высокотехнологичной птицефабрики полного цикла производственной мощностью 50 млн. штук инкубационного яйца и 45 тыс. тонн мяса птицы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и строительство корпусов содержания птицы, цехов производства и переработки продукции с общим приростом производства продукции на 25 процентов или 7 тыс. тонн мяса птицы в год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</w:t>
            </w:r>
            <w:r>
              <w:t xml:space="preserve">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14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животноводческого комплекса молочного направления на 3350 коров и специализированной фермы по выращиванию молодняка крупного рогатого скота молочных пород на 3940 голов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15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Тепличный комбинат общество с ограниченной ответственностью "ТК "Сибирский" с инженерными коммуникациями для круглогодичного выращивания овощей, расположенный в Омском районе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0,344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 совместно с заинтересованными организация</w:t>
            </w:r>
            <w:r>
              <w:t xml:space="preserve">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16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Молочно-товарная ферма на 1800 коров в д. Голенки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17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нового молочно-товарного комплекса на 1999 коров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0,077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Томской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18 введен распоряжением</w:t>
            </w:r>
            <w:r>
              <w:t xml:space="preserve"> Правительства РФ от 04.09.2025 N 2448-р)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6.3. Мероприятия, обеспечивающие реализацию</w:t>
      </w:r>
      <w:r/>
    </w:p>
    <w:p>
      <w:pPr>
        <w:pStyle w:val="4615"/>
        <w:jc w:val="center"/>
      </w:pPr>
      <w:r>
        <w:t xml:space="preserve">проектов кластера</w:t>
      </w:r>
      <w:r/>
    </w:p>
    <w:p>
      <w:pPr>
        <w:pStyle w:val="4613"/>
        <w:jc w:val="both"/>
      </w:pPr>
      <w:r/>
      <w:r/>
    </w:p>
    <w:p>
      <w:pPr>
        <w:pStyle w:val="4613"/>
        <w:sectPr>
          <w:headerReference w:type="default" r:id="rId32"/>
          <w:headerReference w:type="first" r:id="rId33"/>
          <w:footerReference w:type="default" r:id="rId70"/>
          <w:footerReference w:type="first" r:id="rId71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12"/>
        <w:gridCol w:w="3919"/>
        <w:gridCol w:w="4042"/>
        <w:gridCol w:w="2572"/>
        <w:gridCol w:w="2694"/>
        <w:gridCol w:w="2205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419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особой экономической зоны промышленно-производственного типа "Хандагайты" в Республике Тыва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территории с преференциальным режимом ведения предпринимательской деятельности в целях привлечения инвестиций, создания новых рабочих мест, развит</w:t>
            </w:r>
            <w:r>
              <w:t xml:space="preserve">ия отраслей экономики, роста валового регионального продукта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постановление Правительства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Минэкономразвития России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Проработка возможности реализации проекта по созданию агробиотехнопарка на базе Сибирского федерального научного центра агробиотехнологий Российской академии наук и особой экономической зоны научно-производственного типа в р.п. Краснообск Новосибирской обл</w:t>
            </w:r>
            <w:r>
              <w:t xml:space="preserve">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и соответствующих обоснований по созданию территории с преференциальным режимом ведения для наукоемкого производства резидентов агробиотехнопарка в целях привлечения инвестиций, создания новых рабочих мест, развития отрасли агро</w:t>
            </w:r>
            <w:r>
              <w:t xml:space="preserve">промышленного комплекса, формирования инновационной инфраструктуры территории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Минсельхоз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Сибирский федеральный научный центр агробиотехнологий Российской академии наук,</w:t>
            </w:r>
            <w:r/>
          </w:p>
          <w:p>
            <w:pPr>
              <w:pStyle w:val="4613"/>
            </w:pPr>
            <w:r>
              <w:t xml:space="preserve">Правительство Новосибирской области,</w:t>
            </w:r>
            <w:r/>
          </w:p>
          <w:p>
            <w:pPr>
              <w:pStyle w:val="4613"/>
            </w:pPr>
            <w:r>
              <w:t xml:space="preserve">Минсельхоз России,</w:t>
            </w:r>
            <w:r/>
          </w:p>
          <w:p>
            <w:pPr>
              <w:pStyle w:val="4613"/>
            </w:pPr>
            <w:r>
              <w:t xml:space="preserve">Минобрнауки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Расширение целевых направлений расходования грантов в рамках проектов "Агропрогресс" и "Агростартап"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включение затрат сельскохозяйственных товаропроизводителей на доставку сельскохозяйственной техники и оборудования, приобретенных за счет средств грантовой</w:t>
            </w:r>
            <w:r>
              <w:t xml:space="preserve"> поддержки в рамках реализации проектов "Агропрогресс", семейных ферм и развития материально-технической базы сельскохозяйственных потребительских кооперативов, мероприятий по созданию системы поддержки фермеров и развитию сельской кооперации на реализацию</w:t>
            </w:r>
            <w:r>
              <w:t xml:space="preserve"> проектов "Агростартап", в целевые направления расходования указанных грантов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постановление Правительства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Минсельхоз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Поддержка фермеров и развитие сельской кооперации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увеличение размера возмещения затрат сельскохозяйственных потребительских кооперативов на приобретение техники и оборудования в рамках субсидии на создание системы поддержки фермеров и развитие сельской коо</w:t>
            </w:r>
            <w:r>
              <w:t xml:space="preserve">перации федерального проекта "Акселерация субъектов малого и среднего предпринимательства" с 50 до 60 процентов для субъектов Российской Федерации, входящих в Сибирский федеральный округ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постановление Правительства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Минсельхоз России,</w:t>
            </w:r>
            <w:r/>
          </w:p>
          <w:p>
            <w:pPr>
              <w:pStyle w:val="4613"/>
            </w:pPr>
            <w:r>
              <w:t xml:space="preserve">и</w:t>
            </w:r>
            <w:r>
              <w:t xml:space="preserve">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Внесение изменений в стратегии социально-экономического развития субъектов Российской Федерации, входящих в состав Сибирского федерального округа, по формированию (уточнению) разделов "Простр</w:t>
            </w:r>
            <w:r>
              <w:t xml:space="preserve">анственное развитие" в части ускоренного развития опорных населенных пунктов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изменения в стратегии социально-экономического развития субъектов Российской Федерации, входящих в состав Сибирского федерального округа, учитывающие ускоренное развитие опорных н</w:t>
            </w:r>
            <w:r>
              <w:t xml:space="preserve">аселенных пунктов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vAlign w:val="bottom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Разработка, утверждение и реализация программ развития инфраструктуры опорных населенных пунктов субъектов Российской Федерации, входящих в состав Сибирского федерального округа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ускоренное развитие социальной, инженерной инфраструктуры опорных населенных п</w:t>
            </w:r>
            <w:r>
              <w:t xml:space="preserve">унктов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Федерации,</w:t>
            </w:r>
            <w:r/>
          </w:p>
          <w:p>
            <w:pPr>
              <w:pStyle w:val="4613"/>
            </w:pPr>
            <w:r>
              <w:t xml:space="preserve">Минстрой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6 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86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Исключен. - Распоряжение Правительства РФ от 27.06.2026 N 1643-р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Сохранение мер поддержки льготного кредитования на строительство тепличных комплексов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привлечение льготных кредитов в агропромышленный комплекс, рост продукции сельского хозяйства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постановление правительства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Минсельхоз России,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Вовлечение в оборот новых земель сельскохозяйственного назначения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обеспечение реализации эффективного использования земель сельскохозяйственного назначения не менее 1500 тыс. га к 2030 году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Минсельхоз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</w:t>
            </w:r>
            <w:r>
              <w:t xml:space="preserve">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Внесение изменений в государственные программы субъектов Российской Федерации, входящих в состав Сибирского федерального округа, в сфере агропромышленного комплекса в части включения мероприятий по</w:t>
            </w:r>
            <w:r>
              <w:t xml:space="preserve"> привлечению инвестиций в отрасль:</w:t>
            </w:r>
            <w:r/>
          </w:p>
          <w:p>
            <w:pPr>
              <w:pStyle w:val="4613"/>
            </w:pPr>
            <w:r>
              <w:t xml:space="preserve">в овощи защищенного грунта;</w:t>
            </w:r>
            <w:r/>
          </w:p>
          <w:p>
            <w:pPr>
              <w:pStyle w:val="4613"/>
            </w:pPr>
            <w:r>
              <w:t xml:space="preserve">в молочное скотоводство;</w:t>
            </w:r>
            <w:r/>
          </w:p>
          <w:p>
            <w:pPr>
              <w:pStyle w:val="4613"/>
            </w:pPr>
            <w:r>
              <w:t xml:space="preserve">в инфраструктуру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привлечение инвестиций в отрасль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Минсельхоз России,</w:t>
            </w:r>
            <w:r/>
          </w:p>
          <w:p>
            <w:pPr>
              <w:pStyle w:val="4613"/>
            </w:pPr>
            <w:r>
              <w:t xml:space="preserve">акты исполнительных органов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исполнительные органы субъектов</w:t>
            </w:r>
            <w:r>
              <w:t xml:space="preserve">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</w:tbl>
    <w:p>
      <w:pPr>
        <w:pStyle w:val="4613"/>
        <w:sectPr>
          <w:headerReference w:type="default" r:id="rId34"/>
          <w:headerReference w:type="first" r:id="rId35"/>
          <w:footerReference w:type="default" r:id="rId72"/>
          <w:footerReference w:type="first" r:id="rId73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2"/>
      </w:pPr>
      <w:r>
        <w:t xml:space="preserve">7. Кластер "Нефть и газ"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7.1. Целевые показатели (ответственные - Минэнерго России</w:t>
      </w:r>
      <w:r/>
    </w:p>
    <w:p>
      <w:pPr>
        <w:pStyle w:val="4615"/>
        <w:jc w:val="center"/>
      </w:pPr>
      <w:r>
        <w:t xml:space="preserve">и Минприроды России)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1304"/>
        <w:gridCol w:w="1077"/>
        <w:gridCol w:w="1191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91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2022 год (факт)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Отношение объема добычи нефти и газового конденсата в Сибирском федеральном округе к уровню добычи в Российской Федерации в соответствии с базовым уровнем за 2022 год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процентов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1,02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1,05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производства крупнотоннажных полимеров нефтехимическими предприятиями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тонн</w:t>
            </w:r>
            <w:r/>
          </w:p>
          <w:p>
            <w:pPr>
              <w:pStyle w:val="4613"/>
              <w:jc w:val="center"/>
            </w:pPr>
            <w:r>
              <w:t xml:space="preserve">(не менее)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970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1500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потребления природного газа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куб. 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23,7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32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4587,8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8385,3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54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7.2. Приоритетные инвестиционные проекты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1247"/>
        <w:gridCol w:w="1134"/>
        <w:gridCol w:w="2665"/>
        <w:gridCol w:w="794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17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проекта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Количество рабочих мест, тыс. штук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Объем инвестиций, млрд. рублей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реализации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новой "нефтегазовой провинции" "Восток Ойл"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83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10859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"Восток Ойл",</w:t>
            </w:r>
            <w:r/>
          </w:p>
          <w:p>
            <w:pPr>
              <w:pStyle w:val="4613"/>
            </w:pPr>
            <w:r>
              <w:t xml:space="preserve">публичное акционерное общество "Роснефть"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2040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Обустройство Ковыктинского газоконденсатного месторождения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576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публичное акционерное общество "Газпром",</w:t>
            </w:r>
            <w:r/>
          </w:p>
          <w:p>
            <w:pPr>
              <w:pStyle w:val="4613"/>
            </w:pPr>
            <w:r>
              <w:t xml:space="preserve">Правительство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газохимического комплекса в районе г. Усть-Кут ("Строительство Усть-Кутского газоперерабатывающего завода (завода фракционирования широкой фракции легких углеводородов) в районе Толстого мыса г. Усть-Кута", "Строительство завода полимеров")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372,9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"Иркутская нефтяная компания"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Полномасштабная разработка Верхнечонского месторождения, Катангский район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публичное акционерное общество "Верхнечонскнефтегаз"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2050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Дулисьминского нефтегазоконденсатного месторождения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138,4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закрытое акционерное общество "Нефтяная компания Дулисьма"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2050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проекта по добыче метана из угольных пластов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133,6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"Газпром добыча Кузнецк"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Модернизация нефтехимического производства, г. Ангарск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91,1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акционерное общество "Ангарская нефтехимическая компания"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и освоение производства катализаторов гидрогенизационных процессов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62,2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2025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8 введен распоряжением Правительства РФ от 04.09.2025 N 2448-р)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7.3. Мероприятия, обеспечивающие реализацию</w:t>
      </w:r>
      <w:r/>
    </w:p>
    <w:p>
      <w:pPr>
        <w:pStyle w:val="4615"/>
        <w:jc w:val="center"/>
      </w:pPr>
      <w:r>
        <w:t xml:space="preserve">проектов кластера</w:t>
      </w:r>
      <w:r/>
    </w:p>
    <w:p>
      <w:pPr>
        <w:pStyle w:val="4613"/>
        <w:jc w:val="both"/>
      </w:pPr>
      <w:r/>
      <w:r/>
    </w:p>
    <w:p>
      <w:pPr>
        <w:pStyle w:val="4613"/>
        <w:sectPr>
          <w:headerReference w:type="default" r:id="rId36"/>
          <w:headerReference w:type="first" r:id="rId37"/>
          <w:footerReference w:type="default" r:id="rId74"/>
          <w:footerReference w:type="first" r:id="rId75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12"/>
        <w:gridCol w:w="3919"/>
        <w:gridCol w:w="4042"/>
        <w:gridCol w:w="2572"/>
        <w:gridCol w:w="2694"/>
        <w:gridCol w:w="2205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419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комплекса мероприятий по развитию энергетики и газовой промышленности Красноярского края с вовлечением запасов и ресурсов месторождений (с учетом использования попутного нефтяного газа) независимых производителей газа для поставок газа российски</w:t>
            </w:r>
            <w:r>
              <w:t xml:space="preserve">м потребителям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комплекса мер до 2035 года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Минэнерго России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публичное акционерное общество "Газпром",</w:t>
            </w:r>
            <w:r/>
          </w:p>
          <w:p>
            <w:pPr>
              <w:pStyle w:val="4613"/>
            </w:pPr>
            <w:r>
              <w:t xml:space="preserve">независимые производители газа на территории Красноярского края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</w:t>
            </w:r>
            <w:r/>
          </w:p>
          <w:p>
            <w:pPr>
              <w:pStyle w:val="4613"/>
              <w:jc w:val="both"/>
            </w:pPr>
            <w:r>
              <w:t xml:space="preserve">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предложений по развитию газохимического кластера в г. Саянске и г. Ангарске и переводе теплоэлектростанций и котельных на газ в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определение перспективных потребителей газа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публичное акционерное общество "Газпром"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акцио</w:t>
            </w:r>
            <w:r>
              <w:t xml:space="preserve">нерное общество "Саянскхимпласт",</w:t>
            </w:r>
            <w:r/>
          </w:p>
          <w:p>
            <w:pPr>
              <w:pStyle w:val="4613"/>
            </w:pPr>
            <w:r>
              <w:t xml:space="preserve">публичное акционерное общество "Эн + ГРУП",</w:t>
            </w:r>
            <w:r/>
          </w:p>
          <w:p>
            <w:pPr>
              <w:pStyle w:val="4613"/>
            </w:pPr>
            <w:r>
              <w:t xml:space="preserve">заинтересованные организации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предложений о целесообразности строительства газопровода "Ковыкта - Саянск - Иркутск" по итогам корректировки генеральной схемы газоснабжения и газификации Иркутской области с учетом перспектив создания газохимических производств в г. Саянске и </w:t>
            </w:r>
            <w:r>
              <w:t xml:space="preserve">г. Ангарске и перевода теплоэлектростанций и котельных на газ в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формирование перспективного спроса на природный газ в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публичное акционерное общество "Газпром",</w:t>
            </w:r>
            <w:r/>
          </w:p>
          <w:p>
            <w:pPr>
              <w:pStyle w:val="4613"/>
            </w:pPr>
            <w:r>
              <w:t xml:space="preserve">акционерное общество "Саянскхимпласт",</w:t>
            </w:r>
            <w:r/>
          </w:p>
          <w:p>
            <w:pPr>
              <w:pStyle w:val="4613"/>
            </w:pPr>
            <w:r>
              <w:t xml:space="preserve">публичное акционерное общество "Эн + ГРУП",</w:t>
            </w:r>
            <w:r/>
          </w:p>
          <w:p>
            <w:pPr>
              <w:pStyle w:val="4613"/>
            </w:pPr>
            <w:r>
              <w:t xml:space="preserve">заинтересованные организации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Анализ состояния геологической изученности минерально-сы</w:t>
            </w:r>
            <w:r>
              <w:t xml:space="preserve">рьевой базы нефти и газа Сибирского федерального округа и перспектив ее наращивания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актуализация состояния геологической изученности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</w:t>
            </w:r>
            <w:r/>
          </w:p>
          <w:p>
            <w:pPr>
              <w:pStyle w:val="4613"/>
            </w:pPr>
            <w:r>
              <w:t xml:space="preserve">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Минприроды России, Роснедра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</w:t>
            </w:r>
            <w:r/>
          </w:p>
          <w:p>
            <w:pPr>
              <w:pStyle w:val="4613"/>
              <w:jc w:val="center"/>
            </w:pPr>
            <w:r>
              <w:t xml:space="preserve">далее - 1 раз в 3 года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Приведение в нормативное состояние и развитие автомобильной дороги А-331 "Вилюй"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повышение уровня транспортно-эксплуатационного состояния и пропускной способности автомобильной дороги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</w:t>
            </w:r>
            <w:r/>
          </w:p>
          <w:p>
            <w:pPr>
              <w:pStyle w:val="4613"/>
            </w:pPr>
            <w:r>
              <w:t xml:space="preserve">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Р</w:t>
            </w:r>
            <w:r>
              <w:t xml:space="preserve">осавтодор,</w:t>
            </w:r>
            <w:r/>
          </w:p>
          <w:p>
            <w:pPr>
              <w:pStyle w:val="4613"/>
            </w:pPr>
            <w:r>
              <w:t xml:space="preserve">исполнительные органы субъектов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</w:tbl>
    <w:p>
      <w:pPr>
        <w:pStyle w:val="4613"/>
        <w:sectPr>
          <w:headerReference w:type="default" r:id="rId38"/>
          <w:headerReference w:type="first" r:id="rId39"/>
          <w:footerReference w:type="default" r:id="rId76"/>
          <w:footerReference w:type="first" r:id="rId77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2"/>
      </w:pPr>
      <w:r>
        <w:t xml:space="preserve">8. Кластер "Уголь"</w:t>
      </w:r>
      <w:r/>
    </w:p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8.1. Целевые показатели (ответственный - Минэнерго России)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1304"/>
        <w:gridCol w:w="1077"/>
        <w:gridCol w:w="1191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91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2022 год (факт)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добычи угля (с учетом увеличения вывоза через порты Азово-Черноморского и Северо-Западного бассейнов) - всего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млн. тонн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325,5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327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355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в том числе коксующегося угля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млн. тонн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70,1</w:t>
            </w:r>
            <w:r/>
          </w:p>
          <w:p>
            <w:pPr>
              <w:pStyle w:val="4613"/>
              <w:jc w:val="center"/>
            </w:pPr>
            <w:r>
              <w:t xml:space="preserve">(21,5 процента)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72</w:t>
            </w:r>
            <w:r/>
          </w:p>
          <w:p>
            <w:pPr>
              <w:pStyle w:val="4613"/>
              <w:jc w:val="center"/>
            </w:pPr>
            <w:r>
              <w:t xml:space="preserve">(23 процента)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89</w:t>
            </w:r>
            <w:r/>
          </w:p>
          <w:p>
            <w:pPr>
              <w:pStyle w:val="4613"/>
              <w:jc w:val="center"/>
            </w:pPr>
            <w:r>
              <w:t xml:space="preserve">(25 процентов)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 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Доля обогащаемого угля в общем объеме его добычи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процентов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46,2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61,3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Объем инвестиций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млрд.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191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3 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рабочих мест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тыс. штук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4 в ред. распоряжения Правительства РФ от 04.09.2025 N 2448-р)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8.2. Приоритетные инвестиционные проекты</w:t>
      </w:r>
      <w:r/>
    </w:p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1247"/>
        <w:gridCol w:w="1134"/>
        <w:gridCol w:w="2665"/>
        <w:gridCol w:w="794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317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проекта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Количество рабочих мест, тыс. штук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Объем инвестиций, млрд. рублей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реализации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горно-обогатительного комплекса на Элегестском месторождении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42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акционерное общество "Тувинская э</w:t>
            </w:r>
            <w:r>
              <w:t xml:space="preserve">нергетическая промышленная корпорация"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2048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шахты с обогатительной фабрикой на Каа-Хемском месторождении, участки 1, 2, 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1,262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52,8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"Тувинская горнорудная компания"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2048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участка Центральный Западной части Улуг-Хемского угольного бассейна в Республике Тыва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"УлугхемУголь"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2048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угледобывающего комплекса на Межегейск</w:t>
            </w:r>
            <w:r>
              <w:t xml:space="preserve">ом месторождении Улуг-Хемского угольного бассейна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"Управляющая компания "Межегейуголь"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</w:t>
            </w:r>
            <w:r>
              <w:t xml:space="preserve">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обществом с ограниченной ответственностью "Разрез Богатырь" участка "Богатырь" Горловского угольного бассейна в Новосибирской области (освоение участка недр "Богатырь" Горловского бассейна) (I и II этапы)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3,28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78,4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</w:t>
            </w:r>
            <w:r>
              <w:t xml:space="preserve">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2031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5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участка недр Чексинский Чексинского каменноугольного месторождения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142,1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акционерное общество "Угольная компания "Кузбассразрезуголь"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распоряжений Правительства РФ от 04.09.2025 N 2448-р,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комплекса коксовых батарей (КБ-2)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0,07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24,8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акционерное общество "ЕВРАЗ ЗСМК"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морского терминала на полуострове Таймыр Красноярского края и объектов, обеспечивающих его загрузку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58,1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"Северная звезда"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2029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</w:t>
            </w:r>
            <w:r>
              <w:t xml:space="preserve">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Реализация комплексного проекта "Развитие Бейского каменноугольного кластера" (развитие участков каменноугольного месторождения со строительством обогатительного комплекса, строительство железнодоро</w:t>
            </w:r>
            <w:r>
              <w:t xml:space="preserve">жного перехода от месторождения к станции Кирба со строительством железнодорожного моста через реку Абакан, разработка участков месторождения)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109,5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общество с ограниченной ответственностью "Коулстар",</w:t>
            </w:r>
            <w:r/>
          </w:p>
          <w:p>
            <w:pPr>
              <w:pStyle w:val="4613"/>
            </w:pPr>
            <w:r>
              <w:t xml:space="preserve">акционерное общество "Русский уголь"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2030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Жеронского каменноугольного месторождения (участки Жеронский и Зелиндинский) в Усть-Илимском районе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0,688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8,73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</w:t>
            </w:r>
            <w:r>
              <w:t xml:space="preserve">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10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Южного блока Мугунского месторождения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11 введен распоряжением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Западной площади Мотовского участка Вознесенского месторождения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2,3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2037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12 введен распоряжением</w:t>
            </w:r>
            <w:r>
              <w:t xml:space="preserve">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4613"/>
            </w:pPr>
            <w:r>
              <w:t xml:space="preserve">Освоение участков "Иретский" и "Северный" Голуметской угленосной площади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340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1,9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 совместно с заинтересованными организациями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2053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1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13 введен распоряжением Правительства РФ от 27.06.2026 N 1643-р)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5"/>
        <w:jc w:val="center"/>
        <w:outlineLvl w:val="3"/>
      </w:pPr>
      <w:r>
        <w:t xml:space="preserve">8.3. Мероприятия, обеспечивающие реализацию</w:t>
      </w:r>
      <w:r/>
    </w:p>
    <w:p>
      <w:pPr>
        <w:pStyle w:val="4615"/>
        <w:jc w:val="center"/>
      </w:pPr>
      <w:r>
        <w:t xml:space="preserve">проектов кластера</w:t>
      </w:r>
      <w:r/>
    </w:p>
    <w:p>
      <w:pPr>
        <w:pStyle w:val="4613"/>
        <w:jc w:val="both"/>
      </w:pPr>
      <w:r/>
      <w:r/>
    </w:p>
    <w:p>
      <w:pPr>
        <w:pStyle w:val="4613"/>
        <w:sectPr>
          <w:headerReference w:type="default" r:id="rId40"/>
          <w:headerReference w:type="first" r:id="rId41"/>
          <w:footerReference w:type="default" r:id="rId78"/>
          <w:footerReference w:type="first" r:id="rId79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20" w:equalWidth="1"/>
          <w:docGrid w:linePitch="360"/>
          <w:titlePg/>
        </w:sectPr>
      </w:pPr>
      <w:r/>
      <w:r/>
    </w:p>
    <w:tbl>
      <w:tblPr>
        <w:tblW w:w="5000" w:type="pct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12"/>
        <w:gridCol w:w="3919"/>
        <w:gridCol w:w="4042"/>
        <w:gridCol w:w="2572"/>
        <w:gridCol w:w="2694"/>
        <w:gridCol w:w="2205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4195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Ожидаемый результат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Вид документа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Срок исполнения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Создание механизма использования побочных продуктов производства, вторичных ресурсов, отходов угледобывающей промышленности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утверждение плана мероприятий по созданию системы и инфраструктуры использования побочных продуктов производства, вторичных ресурсов</w:t>
            </w:r>
            <w:r>
              <w:t xml:space="preserve">, отходов угледобывающей промышленности для производства продукции, направленного на реализацию инициативы "Экономика замкнутого цикла"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решение</w:t>
            </w:r>
            <w:r/>
          </w:p>
          <w:p>
            <w:pPr>
              <w:pStyle w:val="4613"/>
            </w:pPr>
            <w:r>
              <w:t xml:space="preserve">Правительства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</w:t>
            </w:r>
            <w:r>
              <w:t xml:space="preserve">транс России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Внедрение на месторождениях Кемеровской области - Кузбасса цифровой системы управления и мониторинга обращения с вскрышными (вмещающими) горными породами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цифровая система управления и мониторинга обращения с вскрышными (вмещающими) горными породами соответ</w:t>
            </w:r>
            <w:r>
              <w:t xml:space="preserve">ствует требованиям Федерального закона Российской Федерации от 14 июля 2022 г. N 343-ФЗ "О внесении изменений в Закон Российской Федерации "О недрах" и отдельные законодательные акты Российской Федерации" и внедрена на месторождениях Кемеровской области - </w:t>
            </w:r>
            <w:r>
              <w:t xml:space="preserve">Кузбасса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Кемеровской области - Кузбасса,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Минприроды России,</w:t>
            </w:r>
            <w:r/>
          </w:p>
          <w:p>
            <w:pPr>
              <w:pStyle w:val="4613"/>
            </w:pPr>
            <w:r>
              <w:t xml:space="preserve">Роснедра,</w:t>
            </w:r>
            <w:r/>
          </w:p>
          <w:p>
            <w:pPr>
              <w:pStyle w:val="4613"/>
            </w:pPr>
            <w:r>
              <w:t xml:space="preserve">Росприроднадзор,</w:t>
            </w:r>
            <w:r/>
          </w:p>
          <w:p>
            <w:pPr>
              <w:pStyle w:val="4613"/>
            </w:pPr>
            <w:r>
              <w:t xml:space="preserve">Ростехнадзор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2023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Подготовка доклада о вывозе угля в восточном и других направлениях на экспорт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отчет о ходе исполнения поручений Президента Российской Федерации в части вывоза угля, а также индикативного плана-графика вывоза угольной продукции на экспорт в восточном направ</w:t>
            </w:r>
            <w:r>
              <w:t xml:space="preserve">лении, в том числе соглашений о взаимодействии по обеспечению перевозок железнодорожным транспортом угольной продукции, производимой на территориях регионов Российской Федерации между открытым акционерным обществом "Российские железные дороги" и правительс</w:t>
            </w:r>
            <w:r>
              <w:t xml:space="preserve">твами угледобывающих регионов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</w:t>
            </w:r>
            <w:r/>
          </w:p>
          <w:p>
            <w:pPr>
              <w:pStyle w:val="4613"/>
            </w:pPr>
            <w:r>
              <w:t xml:space="preserve">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Минтранс России,</w:t>
            </w:r>
            <w:r/>
          </w:p>
          <w:p>
            <w:pPr>
              <w:pStyle w:val="4613"/>
            </w:pPr>
            <w:r>
              <w:t xml:space="preserve">открытое акционерное общество "Российские железные дороги",</w:t>
            </w:r>
            <w:r/>
          </w:p>
          <w:p>
            <w:pPr>
              <w:pStyle w:val="4613"/>
            </w:pPr>
            <w:r>
              <w:t xml:space="preserve">Минэнерго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год, далее - ежегодно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Разработка плана мероприятий по созданию государственной </w:t>
            </w:r>
            <w:r>
              <w:t xml:space="preserve">системы управления глубокой переработкой угля и углехимией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утверждение плана мероприятий, определение целевых показателей, характеризующих уровень развития указанной отрасли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распоряжение Правительства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Минэкономразвития России,</w:t>
            </w:r>
            <w:r/>
          </w:p>
          <w:p>
            <w:pPr>
              <w:pStyle w:val="4613"/>
            </w:pPr>
            <w:r>
              <w:t xml:space="preserve">Минпромторг России,</w:t>
            </w:r>
            <w:r/>
          </w:p>
          <w:p>
            <w:pPr>
              <w:pStyle w:val="4613"/>
            </w:pPr>
            <w:r>
              <w:t xml:space="preserve">Минобрнауки России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2024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4613"/>
            </w:pPr>
            <w:r>
              <w:t xml:space="preserve">Инициирование проведения аукционов на право пользования недрами в целях разработки Жеронского каменноугольного месторождения (участки Жеронский, Зелендинский) в Усть-Илимском районе Иркутской области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2" w:type="dxa"/>
            <w:textDirection w:val="lrTb"/>
            <w:noWrap w:val="false"/>
          </w:tcPr>
          <w:p>
            <w:pPr>
              <w:pStyle w:val="4613"/>
            </w:pPr>
            <w:r>
              <w:t xml:space="preserve">проведение аукционов на право пользования участками н</w:t>
            </w:r>
            <w:r>
              <w:t xml:space="preserve">едр, освоение месторождений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4613"/>
            </w:pPr>
            <w:r>
              <w:t xml:space="preserve">доклад в Правительство 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Минэнерго России,</w:t>
            </w:r>
            <w:r/>
          </w:p>
          <w:p>
            <w:pPr>
              <w:pStyle w:val="4613"/>
            </w:pPr>
            <w:r>
              <w:t xml:space="preserve">Роснедра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1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2036 год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853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5 введен распоряжением Правительства РФ от 04.09.2025 N 2448-р;</w:t>
            </w:r>
            <w:r/>
          </w:p>
          <w:p>
            <w:pPr>
              <w:pStyle w:val="4613"/>
              <w:jc w:val="both"/>
            </w:pPr>
            <w:r>
              <w:t xml:space="preserve">в ред. распоряжения</w:t>
            </w:r>
            <w:r>
              <w:t xml:space="preserve"> Правительства РФ от 27.06.2026 N 1643-р)</w:t>
            </w:r>
            <w:r/>
          </w:p>
        </w:tc>
      </w:tr>
    </w:tbl>
    <w:p>
      <w:pPr>
        <w:pStyle w:val="4613"/>
        <w:sectPr>
          <w:headerReference w:type="default" r:id="rId42"/>
          <w:headerReference w:type="first" r:id="rId43"/>
          <w:footerReference w:type="default" r:id="rId80"/>
          <w:footerReference w:type="first" r:id="rId81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4613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right"/>
        <w:outlineLvl w:val="0"/>
      </w:pPr>
      <w:r>
        <w:t xml:space="preserve">Приложение</w:t>
      </w:r>
      <w:r/>
    </w:p>
    <w:p>
      <w:pPr>
        <w:pStyle w:val="4613"/>
        <w:jc w:val="right"/>
      </w:pPr>
      <w:r>
        <w:t xml:space="preserve">к распоряжению Правительства</w:t>
      </w:r>
      <w:r/>
    </w:p>
    <w:p>
      <w:pPr>
        <w:pStyle w:val="4613"/>
        <w:jc w:val="right"/>
      </w:pPr>
      <w:r>
        <w:t xml:space="preserve">Российской Федерации</w:t>
      </w:r>
      <w:r/>
    </w:p>
    <w:p>
      <w:pPr>
        <w:pStyle w:val="4613"/>
        <w:jc w:val="right"/>
      </w:pPr>
      <w:r>
        <w:t xml:space="preserve">от 16 октября 2023 г. N 2846-р</w:t>
      </w:r>
      <w:r/>
    </w:p>
    <w:p>
      <w:pPr>
        <w:pStyle w:val="4613"/>
        <w:jc w:val="both"/>
      </w:pPr>
      <w:r/>
      <w:r/>
    </w:p>
    <w:p>
      <w:pPr>
        <w:pStyle w:val="4615"/>
        <w:jc w:val="center"/>
      </w:pPr>
      <w:r/>
      <w:bookmarkStart w:id="2" w:name="P3920"/>
      <w:r/>
      <w:bookmarkEnd w:id="2"/>
      <w:r>
        <w:t xml:space="preserve">ПЕРЕЧЕНЬ</w:t>
      </w:r>
      <w:r/>
    </w:p>
    <w:p>
      <w:pPr>
        <w:pStyle w:val="4615"/>
        <w:jc w:val="center"/>
      </w:pPr>
      <w:r>
        <w:t xml:space="preserve">ПРОЕКТОВ В СОЦИАЛЬНОЙ СФЕРЕ, УЧИТЫВАЕМЫХ В ПРИОРИТЕТНОМ</w:t>
      </w:r>
      <w:r/>
    </w:p>
    <w:p>
      <w:pPr>
        <w:pStyle w:val="4615"/>
        <w:jc w:val="center"/>
      </w:pPr>
      <w:r>
        <w:t xml:space="preserve">ПОРЯДКЕ ПРИ ПРИНЯТИИ ПРЕЗИДИУМОМ (ШТАБОМ) ПРАВИТЕЛЬСТВЕННОЙ</w:t>
      </w:r>
      <w:r/>
    </w:p>
    <w:p>
      <w:pPr>
        <w:pStyle w:val="4615"/>
        <w:jc w:val="center"/>
      </w:pPr>
      <w:r>
        <w:t xml:space="preserve">КОМИССИИ ПО РЕГИОНАЛЬНОМУ РАЗВИТИЮ В РОССИЙСКОЙ ФЕДЕРАЦИИ</w:t>
      </w:r>
      <w:r/>
    </w:p>
    <w:p>
      <w:pPr>
        <w:pStyle w:val="4615"/>
        <w:jc w:val="center"/>
      </w:pPr>
      <w:r>
        <w:t xml:space="preserve">РЕШЕНИЙ В СООТВЕТСТВИИ С ПУНКТОМ 12(1) ПОЛОЖЕНИЯ</w:t>
      </w:r>
      <w:r/>
    </w:p>
    <w:p>
      <w:pPr>
        <w:pStyle w:val="4615"/>
        <w:jc w:val="center"/>
      </w:pPr>
      <w:r>
        <w:t xml:space="preserve">О ПРАВИТЕЛЬСТВЕННОЙ КОМИССИИ ПО РЕГИОНАЛЬНОМУ РАЗВИТИЮ</w:t>
      </w:r>
      <w:r/>
    </w:p>
    <w:p>
      <w:pPr>
        <w:pStyle w:val="4615"/>
        <w:jc w:val="center"/>
      </w:pPr>
      <w:r>
        <w:t xml:space="preserve">В РОССИЙСКОЙ ФЕДЕРАЦИИ, УТВЕРЖДЕНН</w:t>
      </w:r>
      <w:r>
        <w:t xml:space="preserve">ОГО ПОСТАНОВЛЕНИЕМ</w:t>
      </w:r>
      <w:r/>
    </w:p>
    <w:p>
      <w:pPr>
        <w:pStyle w:val="4615"/>
        <w:jc w:val="center"/>
      </w:pPr>
      <w:r>
        <w:t xml:space="preserve">ПРАВИТЕЛЬСТВА РОССИЙСКОЙ ФЕДЕРАЦИИ ОТ 21 МАЯ 2016 Г.</w:t>
      </w:r>
      <w:r/>
    </w:p>
    <w:p>
      <w:pPr>
        <w:pStyle w:val="4615"/>
        <w:jc w:val="center"/>
      </w:pPr>
      <w:r>
        <w:t xml:space="preserve">N 451 "О ПРАВИТЕЛЬСТВЕННОЙ КОМИССИИ ПО РЕГИОНАЛЬНОМУ</w:t>
      </w:r>
      <w:r/>
    </w:p>
    <w:p>
      <w:pPr>
        <w:pStyle w:val="4615"/>
        <w:jc w:val="center"/>
      </w:pPr>
      <w:r>
        <w:t xml:space="preserve">РАЗВИТИЮ В РОССИЙСКОЙ ФЕДЕРАЦИИ"</w:t>
      </w:r>
      <w:r/>
    </w:p>
    <w:p>
      <w:pPr>
        <w:pStyle w:val="4613"/>
        <w:spacing w:after="1"/>
      </w:pPr>
      <w:r/>
      <w:r/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  <w:r/>
          </w:p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04.09.2025 N 2448-р,</w:t>
            </w:r>
            <w:r/>
          </w:p>
          <w:p>
            <w:pPr>
              <w:pStyle w:val="4613"/>
              <w:jc w:val="center"/>
            </w:pPr>
            <w:r>
              <w:rPr>
                <w:color w:val="392c69"/>
              </w:rPr>
              <w:t xml:space="preserve">от 2</w:t>
            </w:r>
            <w:r>
              <w:rPr>
                <w:color w:val="392c69"/>
              </w:rPr>
              <w:t xml:space="preserve">7.06.2026 N 1643-р)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4613"/>
            </w:pPr>
            <w:r/>
            <w:r/>
          </w:p>
        </w:tc>
      </w:tr>
    </w:tbl>
    <w:p>
      <w:pPr>
        <w:pStyle w:val="4613"/>
        <w:jc w:val="both"/>
      </w:pPr>
      <w:r/>
      <w:r/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4"/>
        <w:gridCol w:w="4305"/>
        <w:gridCol w:w="4306"/>
      </w:tblGrid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4759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Наименование объекта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Ответственный исполнитель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Онкологический диспансер в Новосибирской области на 800 коек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Лечебный корпус государственного бюджетного учреждения здравоохранения Новосибирской области "Городская клиническая больница N 34"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Новосибирской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Перинатальный центр в г. Горно-Алтайске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Алтай,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Приемное отделение со стационарным отделением скорой помощи государственного бюджетного учреждения здравоохранения "Иркутская ордена "Знак Почета" областная клиниче</w:t>
            </w:r>
            <w:r>
              <w:t xml:space="preserve">ская больница"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Акушерский реанимационный корпус областного государственного автономного учреждения здравоохранения "Братский перинатальный центр"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Ради</w:t>
            </w:r>
            <w:r>
              <w:t xml:space="preserve">ологический корпус Восточно-Сибирского онкологического центра в г. Иркутске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Государственная корпорация по атомной энергии "Росатом"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Филиал поликлиники областного государственного бюджетного учреждения здравоохранения "Иркутская городская клиническая больница N 1" на 1000 посещений в смену в г. Иркутске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Стационар на 436 коек государст</w:t>
            </w:r>
            <w:r>
              <w:t xml:space="preserve">венного бюджетного учреждения здравоохранения "Иркутская государственная областная детская клиническая больница"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Республиканский онкологический диспансер в г. Кызыле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Минздр</w:t>
            </w:r>
            <w:r>
              <w:t xml:space="preserve">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Республиканская детская больница в г. Кызыле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Республиканская туберкулезная больница в г. Кызыле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Единый центр скорой медицинской помощи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Тыва,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Спортивно-культурный центр в пгт. Каа-Хем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Минспорт России,</w:t>
            </w:r>
            <w:r/>
          </w:p>
          <w:p>
            <w:pPr>
              <w:pStyle w:val="4613"/>
            </w:pPr>
            <w:r>
              <w:t xml:space="preserve">Минстрой России,</w:t>
            </w:r>
            <w:r/>
          </w:p>
          <w:p>
            <w:pPr>
              <w:pStyle w:val="4613"/>
            </w:pPr>
            <w:r>
              <w:t xml:space="preserve">Правительство Республики Тыва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Республиканский клинический онкологический диспансер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Республиканская клиническая инфекционная больница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Республики Хакасия,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объекта спортивного комплекса</w:t>
            </w:r>
            <w:r>
              <w:t xml:space="preserve"> "Саяны"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Минспорт России,</w:t>
            </w:r>
            <w:r/>
          </w:p>
          <w:p>
            <w:pPr>
              <w:pStyle w:val="4613"/>
            </w:pPr>
            <w:r>
              <w:t xml:space="preserve">Правительство Республики Хакасия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Ледовая арена в жилом районе "Арбан"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Минспорт России,</w:t>
            </w:r>
            <w:r/>
          </w:p>
          <w:p>
            <w:pPr>
              <w:pStyle w:val="4613"/>
            </w:pPr>
            <w:r>
              <w:t xml:space="preserve">Правительство Республики Хакасия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Многопрофильная детская больница в г. Красноярске на 640 коек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19.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Поликлиника в Свердловском районе г. Красноярска с инженерными сетями на 600 посещений в смену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Минздрав Р</w:t>
            </w:r>
            <w:r>
              <w:t xml:space="preserve">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20.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Поликлиника в мкр. "Северный" г. Красноярска на 500 посещений в смену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Красноярского края,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Операционный корпус по ул. Булатова, д. 105, г. Омск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Лечебный корпус на 120 мест с поликлиникой на 900 посещений в смену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Взрослый инфекционный стационар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24.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Капитальный ремонт здания спортивно-концертного комплекса им. В. Блинова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Омской области,</w:t>
            </w:r>
            <w:r/>
          </w:p>
          <w:p>
            <w:pPr>
              <w:pStyle w:val="4613"/>
            </w:pPr>
            <w:r>
              <w:t xml:space="preserve">Минспорт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25.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спортивного зала "Центр тяжелой атлетики в спортивно-оздоровительном комплексе "Училище олимпийского резерва", г. Анга</w:t>
            </w:r>
            <w:r>
              <w:t xml:space="preserve">рск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Минспорт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6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26.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Строительство спортивного комплекса с ледовой ареной для керлинга и стрелковым тиром в г. Иркутске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Минспорт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6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(в ред. распоряжения Правительства РФ от 27.06.2026 N 1643-р)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27.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с элементами реставрации объекта культурного наследия регионального значения, расположенного по адресу: г. Иркутск, ул. Ленина, 13, с его приспособлением для использования государственным автономным учреждением культуры "Иркутский областной Т</w:t>
            </w:r>
            <w:r>
              <w:t xml:space="preserve">еатр Юного Зрителя им. А. Вампилова"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Иркутской области,</w:t>
            </w:r>
            <w:r/>
          </w:p>
          <w:p>
            <w:pPr>
              <w:pStyle w:val="4613"/>
            </w:pPr>
            <w:r>
              <w:t xml:space="preserve">Минкультуры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28.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педиатрического стационара на 180 коек бюджетного учреждения здравоохранения Омской области "Городской клинический перинатальный центр"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</w:t>
            </w:r>
            <w:r>
              <w:t xml:space="preserve">о Омской области,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6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28 введен распоряжением Правительства РФ от 04.09.2025 N 2448-р)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pStyle w:val="4613"/>
              <w:jc w:val="center"/>
            </w:pPr>
            <w:r>
              <w:t xml:space="preserve">29.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5" w:type="dxa"/>
            <w:textDirection w:val="lrTb"/>
            <w:noWrap w:val="false"/>
          </w:tcPr>
          <w:p>
            <w:pPr>
              <w:pStyle w:val="4613"/>
            </w:pPr>
            <w:r>
              <w:t xml:space="preserve">Реконструкция краевого государственного бюджетного учреждения здравоохранения "Алтайский краевой клинический центр охраны материнства и детства"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6" w:type="dxa"/>
            <w:textDirection w:val="lrTb"/>
            <w:noWrap w:val="false"/>
          </w:tcPr>
          <w:p>
            <w:pPr>
              <w:pStyle w:val="4613"/>
            </w:pPr>
            <w:r>
              <w:t xml:space="preserve">Правительство Алтайского края,</w:t>
            </w:r>
            <w:r/>
          </w:p>
          <w:p>
            <w:pPr>
              <w:pStyle w:val="4613"/>
            </w:pPr>
            <w:r>
              <w:t xml:space="preserve">Минздрав России</w:t>
            </w:r>
            <w:r/>
          </w:p>
        </w:tc>
      </w:tr>
      <w:tr>
        <w:tblPrEx>
          <w:tblBorders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65" w:type="dxa"/>
            <w:textDirection w:val="lrTb"/>
            <w:noWrap w:val="false"/>
          </w:tcPr>
          <w:p>
            <w:pPr>
              <w:pStyle w:val="4613"/>
              <w:jc w:val="both"/>
            </w:pPr>
            <w:r>
              <w:t xml:space="preserve">(п. 29 введен распоряжением</w:t>
            </w:r>
            <w:r>
              <w:t xml:space="preserve"> Правительства РФ от 04.09.2025 N 2448-р)</w:t>
            </w:r>
            <w:r/>
          </w:p>
        </w:tc>
      </w:tr>
    </w:tbl>
    <w:p>
      <w:pPr>
        <w:pStyle w:val="4613"/>
        <w:jc w:val="both"/>
      </w:pPr>
      <w:r/>
      <w:r/>
    </w:p>
    <w:p>
      <w:pPr>
        <w:pStyle w:val="4613"/>
        <w:jc w:val="both"/>
      </w:pPr>
      <w:r/>
      <w:r/>
    </w:p>
    <w:p>
      <w:pPr>
        <w:pStyle w:val="4613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44"/>
      <w:headerReference w:type="first" r:id="rId45"/>
      <w:footerReference w:type="default" r:id="rId82"/>
      <w:footerReference w:type="first" r:id="rId83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sz w:val="16"/>
              <w:szCs w:val="16"/>
            </w:rPr>
            <w:t xml:space="preserve">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</w:t>
          </w:r>
          <w:r>
            <w:rPr>
              <w:rFonts w:ascii="Tahoma" w:hAnsi="Tahoma" w:cs="Tahoma"/>
              <w:b/>
              <w:sz w:val="16"/>
              <w:szCs w:val="16"/>
            </w:rPr>
            <w:t xml:space="preserve">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</w:t>
          </w:r>
          <w:r>
            <w:rPr>
              <w:rFonts w:ascii="Tahoma" w:hAnsi="Tahoma" w:cs="Tahoma"/>
              <w:b/>
              <w:sz w:val="16"/>
              <w:szCs w:val="16"/>
            </w:rPr>
            <w:t xml:space="preserve">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pStyle w:val="4613"/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pStyle w:val="4613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pPr>
      <w:pStyle w:val="4613"/>
    </w:pPr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</w:t>
          </w:r>
          <w:r>
            <w:rPr>
              <w:rFonts w:ascii="Tahoma" w:hAnsi="Tahoma" w:cs="Tahoma"/>
              <w:sz w:val="16"/>
              <w:szCs w:val="16"/>
            </w:rPr>
            <w:t xml:space="preserve">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 xml:space="preserve">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 xml:space="preserve">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 xml:space="preserve">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</w:t>
          </w:r>
          <w:r>
            <w:rPr>
              <w:rFonts w:ascii="Tahoma" w:hAnsi="Tahoma" w:cs="Tahoma"/>
              <w:sz w:val="16"/>
              <w:szCs w:val="16"/>
            </w:rPr>
            <w:t xml:space="preserve">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</w:t>
          </w:r>
          <w:r>
            <w:rPr>
              <w:rFonts w:ascii="Tahoma" w:hAnsi="Tahoma" w:cs="Tahoma"/>
              <w:sz w:val="16"/>
              <w:szCs w:val="16"/>
            </w:rPr>
            <w:t xml:space="preserve">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</w:t>
          </w:r>
          <w:r>
            <w:rPr>
              <w:rFonts w:ascii="Tahoma" w:hAnsi="Tahoma" w:cs="Tahoma"/>
              <w:sz w:val="16"/>
              <w:szCs w:val="16"/>
            </w:rPr>
            <w:t xml:space="preserve">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</w:t>
          </w:r>
          <w:r>
            <w:rPr>
              <w:rFonts w:ascii="Tahoma" w:hAnsi="Tahoma" w:cs="Tahoma"/>
              <w:sz w:val="16"/>
              <w:szCs w:val="16"/>
            </w:rPr>
            <w:t xml:space="preserve">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 xml:space="preserve">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</w:t>
          </w:r>
          <w:r>
            <w:rPr>
              <w:rFonts w:ascii="Tahoma" w:hAnsi="Tahoma" w:cs="Tahoma"/>
              <w:sz w:val="16"/>
              <w:szCs w:val="16"/>
            </w:rPr>
            <w:t xml:space="preserve">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</w:t>
          </w:r>
          <w:r>
            <w:rPr>
              <w:rFonts w:ascii="Tahoma" w:hAnsi="Tahoma" w:cs="Tahoma"/>
              <w:sz w:val="16"/>
              <w:szCs w:val="16"/>
            </w:rPr>
            <w:t xml:space="preserve">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 xml:space="preserve">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</w:t>
          </w:r>
          <w:r>
            <w:rPr>
              <w:rFonts w:ascii="Tahoma" w:hAnsi="Tahoma" w:cs="Tahoma"/>
              <w:sz w:val="16"/>
              <w:szCs w:val="16"/>
            </w:rPr>
            <w:t xml:space="preserve">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</w:t>
          </w:r>
          <w:r>
            <w:rPr>
              <w:rFonts w:ascii="Tahoma" w:hAnsi="Tahoma" w:cs="Tahoma"/>
              <w:sz w:val="16"/>
              <w:szCs w:val="16"/>
            </w:rPr>
            <w:t xml:space="preserve">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 xml:space="preserve">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 xml:space="preserve">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</w:t>
          </w:r>
          <w:r>
            <w:rPr>
              <w:rFonts w:ascii="Tahoma" w:hAnsi="Tahoma" w:cs="Tahoma"/>
              <w:sz w:val="16"/>
              <w:szCs w:val="16"/>
            </w:rPr>
            <w:t xml:space="preserve">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</w:t>
          </w:r>
          <w:r>
            <w:rPr>
              <w:rFonts w:ascii="Tahoma" w:hAnsi="Tahoma" w:cs="Tahoma"/>
              <w:sz w:val="16"/>
              <w:szCs w:val="16"/>
            </w:rPr>
            <w:t xml:space="preserve">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 xml:space="preserve">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</w:t>
          </w:r>
          <w:r>
            <w:rPr>
              <w:rFonts w:ascii="Tahoma" w:hAnsi="Tahoma" w:cs="Tahoma"/>
              <w:sz w:val="16"/>
              <w:szCs w:val="16"/>
            </w:rPr>
            <w:t xml:space="preserve">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</w:t>
          </w:r>
          <w:r>
            <w:rPr>
              <w:rFonts w:ascii="Tahoma" w:hAnsi="Tahoma" w:cs="Tahoma"/>
              <w:sz w:val="16"/>
              <w:szCs w:val="16"/>
            </w:rPr>
            <w:t xml:space="preserve">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</w:t>
          </w:r>
          <w:r>
            <w:rPr>
              <w:rFonts w:ascii="Tahoma" w:hAnsi="Tahoma" w:cs="Tahoma"/>
              <w:sz w:val="16"/>
              <w:szCs w:val="16"/>
            </w:rPr>
            <w:t xml:space="preserve">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</w:t>
          </w:r>
          <w:r>
            <w:rPr>
              <w:rFonts w:ascii="Tahoma" w:hAnsi="Tahoma" w:cs="Tahoma"/>
              <w:sz w:val="16"/>
              <w:szCs w:val="16"/>
            </w:rPr>
            <w:t xml:space="preserve">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</w:t>
          </w:r>
          <w:r>
            <w:rPr>
              <w:rFonts w:ascii="Tahoma" w:hAnsi="Tahoma" w:cs="Tahoma"/>
              <w:sz w:val="16"/>
              <w:szCs w:val="16"/>
            </w:rPr>
            <w:t xml:space="preserve">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</w:t>
          </w:r>
          <w:r>
            <w:rPr>
              <w:rFonts w:ascii="Tahoma" w:hAnsi="Tahoma" w:cs="Tahoma"/>
              <w:sz w:val="16"/>
              <w:szCs w:val="16"/>
            </w:rPr>
            <w:t xml:space="preserve">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</w:t>
          </w:r>
          <w:r>
            <w:rPr>
              <w:rFonts w:ascii="Tahoma" w:hAnsi="Tahoma" w:cs="Tahoma"/>
              <w:sz w:val="16"/>
              <w:szCs w:val="16"/>
            </w:rPr>
            <w:t xml:space="preserve">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 xml:space="preserve">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pStyle w:val="4613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 xml:space="preserve">16.10.2023 N 2846-р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27.06.2026)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плане реализации Стратегии социально-эконом...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pStyle w:val="4613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03.09.2026</w:t>
          </w:r>
          <w:r>
            <w:rPr>
              <w:rFonts w:ascii="Tahoma" w:hAnsi="Tahoma" w:cs="Tahoma"/>
            </w:rPr>
          </w:r>
        </w:p>
      </w:tc>
    </w:tr>
  </w:tbl>
  <w:p>
    <w:pPr>
      <w:pStyle w:val="4613"/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pPr>
      <w:pStyle w:val="46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4599"/>
    <w:next w:val="459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4600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4599"/>
    <w:next w:val="459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460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4599"/>
    <w:next w:val="459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460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4599"/>
    <w:next w:val="459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460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4599"/>
    <w:next w:val="459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460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4599"/>
    <w:next w:val="459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460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4599"/>
    <w:next w:val="459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460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4599"/>
    <w:next w:val="459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460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4599"/>
    <w:next w:val="459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460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459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4599"/>
    <w:next w:val="459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4600"/>
    <w:link w:val="35"/>
    <w:uiPriority w:val="10"/>
    <w:rPr>
      <w:sz w:val="48"/>
      <w:szCs w:val="48"/>
    </w:rPr>
  </w:style>
  <w:style w:type="paragraph" w:styleId="37">
    <w:name w:val="Subtitle"/>
    <w:basedOn w:val="4599"/>
    <w:next w:val="459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4600"/>
    <w:link w:val="37"/>
    <w:uiPriority w:val="11"/>
    <w:rPr>
      <w:sz w:val="24"/>
      <w:szCs w:val="24"/>
    </w:rPr>
  </w:style>
  <w:style w:type="paragraph" w:styleId="39">
    <w:name w:val="Quote"/>
    <w:basedOn w:val="4599"/>
    <w:next w:val="459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4599"/>
    <w:next w:val="459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459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4600"/>
    <w:link w:val="43"/>
    <w:uiPriority w:val="99"/>
  </w:style>
  <w:style w:type="paragraph" w:styleId="45">
    <w:name w:val="Footer"/>
    <w:basedOn w:val="459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4600"/>
    <w:link w:val="45"/>
    <w:uiPriority w:val="99"/>
  </w:style>
  <w:style w:type="paragraph" w:styleId="47">
    <w:name w:val="Caption"/>
    <w:basedOn w:val="4599"/>
    <w:next w:val="459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460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4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4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4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4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4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4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4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4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4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4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4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4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4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459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4600"/>
    <w:uiPriority w:val="99"/>
    <w:unhideWhenUsed/>
    <w:rPr>
      <w:vertAlign w:val="superscript"/>
    </w:rPr>
  </w:style>
  <w:style w:type="paragraph" w:styleId="179">
    <w:name w:val="endnote text"/>
    <w:basedOn w:val="459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4600"/>
    <w:uiPriority w:val="99"/>
    <w:semiHidden/>
    <w:unhideWhenUsed/>
    <w:rPr>
      <w:vertAlign w:val="superscript"/>
    </w:rPr>
  </w:style>
  <w:style w:type="paragraph" w:styleId="182">
    <w:name w:val="toc 1"/>
    <w:basedOn w:val="4599"/>
    <w:next w:val="459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4599"/>
    <w:next w:val="459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4599"/>
    <w:next w:val="459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4599"/>
    <w:next w:val="459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4599"/>
    <w:next w:val="459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4599"/>
    <w:next w:val="459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4599"/>
    <w:next w:val="459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4599"/>
    <w:next w:val="459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4599"/>
    <w:next w:val="459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4599"/>
    <w:next w:val="4599"/>
    <w:uiPriority w:val="99"/>
    <w:unhideWhenUsed/>
    <w:pPr>
      <w:spacing w:after="0" w:afterAutospacing="0"/>
    </w:pPr>
  </w:style>
  <w:style w:type="paragraph" w:styleId="4599" w:default="1">
    <w:name w:val="Normal"/>
    <w:qFormat/>
  </w:style>
  <w:style w:type="character" w:styleId="4600" w:default="1">
    <w:name w:val="Default Paragraph Font"/>
    <w:uiPriority w:val="1"/>
    <w:semiHidden/>
    <w:unhideWhenUsed/>
  </w:style>
  <w:style w:type="table" w:styleId="4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602" w:default="1">
    <w:name w:val="No List"/>
    <w:uiPriority w:val="99"/>
    <w:semiHidden/>
    <w:unhideWhenUsed/>
  </w:style>
  <w:style w:type="paragraph" w:styleId="4603" w:customStyle="1">
    <w:name w:val="ConsPlusNormal"/>
    <w:pPr>
      <w:widowControl w:val="off"/>
    </w:pPr>
    <w:rPr>
      <w:sz w:val="24"/>
    </w:rPr>
  </w:style>
  <w:style w:type="paragraph" w:styleId="460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4605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4606" w:customStyle="1">
    <w:name w:val="ConsPlusCell"/>
    <w:pPr>
      <w:widowControl w:val="off"/>
    </w:pPr>
    <w:rPr>
      <w:rFonts w:ascii="Courier New" w:hAnsi="Courier New" w:cs="Courier New"/>
    </w:rPr>
  </w:style>
  <w:style w:type="paragraph" w:styleId="4607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4608" w:customStyle="1">
    <w:name w:val="ConsPlusTitlePage"/>
    <w:pPr>
      <w:widowControl w:val="off"/>
    </w:pPr>
    <w:rPr>
      <w:rFonts w:ascii="Tahoma" w:hAnsi="Tahoma" w:cs="Tahoma"/>
    </w:rPr>
  </w:style>
  <w:style w:type="paragraph" w:styleId="4609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4610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4611" w:customStyle="1">
    <w:name w:val="ConsPlusTextList"/>
    <w:pPr>
      <w:widowControl w:val="off"/>
    </w:pPr>
    <w:rPr>
      <w:sz w:val="24"/>
    </w:rPr>
  </w:style>
  <w:style w:type="paragraph" w:styleId="4612" w:customStyle="1">
    <w:name w:val="ConsPlusTextList"/>
    <w:pPr>
      <w:widowControl w:val="off"/>
    </w:pPr>
    <w:rPr>
      <w:sz w:val="24"/>
    </w:rPr>
  </w:style>
  <w:style w:type="paragraph" w:styleId="4613" w:customStyle="1">
    <w:name w:val="ConsPlusNormal"/>
    <w:pPr>
      <w:widowControl w:val="off"/>
    </w:pPr>
    <w:rPr>
      <w:sz w:val="24"/>
    </w:rPr>
  </w:style>
  <w:style w:type="paragraph" w:styleId="461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4615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4616" w:customStyle="1">
    <w:name w:val="ConsPlusCell"/>
    <w:pPr>
      <w:widowControl w:val="off"/>
    </w:pPr>
    <w:rPr>
      <w:rFonts w:ascii="Courier New" w:hAnsi="Courier New" w:cs="Courier New"/>
    </w:rPr>
  </w:style>
  <w:style w:type="paragraph" w:styleId="4617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4618" w:customStyle="1">
    <w:name w:val="ConsPlusTitlePage"/>
    <w:pPr>
      <w:widowControl w:val="off"/>
    </w:pPr>
    <w:rPr>
      <w:rFonts w:ascii="Tahoma" w:hAnsi="Tahoma" w:cs="Tahoma"/>
    </w:rPr>
  </w:style>
  <w:style w:type="paragraph" w:styleId="4619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4620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4621" w:customStyle="1">
    <w:name w:val="ConsPlusTextList"/>
    <w:pPr>
      <w:widowControl w:val="off"/>
    </w:pPr>
    <w:rPr>
      <w:sz w:val="24"/>
    </w:rPr>
  </w:style>
  <w:style w:type="paragraph" w:styleId="4622" w:customStyle="1">
    <w:name w:val="ConsPlusTextList"/>
    <w:pPr>
      <w:widowControl w:val="off"/>
    </w:pPr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header" Target="header7.xml" /><Relationship Id="rId15" Type="http://schemas.openxmlformats.org/officeDocument/2006/relationships/header" Target="header8.xml" /><Relationship Id="rId16" Type="http://schemas.openxmlformats.org/officeDocument/2006/relationships/header" Target="header9.xml" /><Relationship Id="rId17" Type="http://schemas.openxmlformats.org/officeDocument/2006/relationships/header" Target="header10.xml" /><Relationship Id="rId18" Type="http://schemas.openxmlformats.org/officeDocument/2006/relationships/header" Target="header11.xml" /><Relationship Id="rId19" Type="http://schemas.openxmlformats.org/officeDocument/2006/relationships/header" Target="header12.xml" /><Relationship Id="rId20" Type="http://schemas.openxmlformats.org/officeDocument/2006/relationships/header" Target="header13.xml" /><Relationship Id="rId21" Type="http://schemas.openxmlformats.org/officeDocument/2006/relationships/header" Target="header14.xml" /><Relationship Id="rId22" Type="http://schemas.openxmlformats.org/officeDocument/2006/relationships/header" Target="header15.xml" /><Relationship Id="rId23" Type="http://schemas.openxmlformats.org/officeDocument/2006/relationships/header" Target="header16.xml" /><Relationship Id="rId24" Type="http://schemas.openxmlformats.org/officeDocument/2006/relationships/header" Target="header17.xml" /><Relationship Id="rId25" Type="http://schemas.openxmlformats.org/officeDocument/2006/relationships/header" Target="header18.xml" /><Relationship Id="rId26" Type="http://schemas.openxmlformats.org/officeDocument/2006/relationships/header" Target="header19.xml" /><Relationship Id="rId27" Type="http://schemas.openxmlformats.org/officeDocument/2006/relationships/header" Target="header20.xml" /><Relationship Id="rId28" Type="http://schemas.openxmlformats.org/officeDocument/2006/relationships/header" Target="header21.xml" /><Relationship Id="rId29" Type="http://schemas.openxmlformats.org/officeDocument/2006/relationships/header" Target="header22.xml" /><Relationship Id="rId30" Type="http://schemas.openxmlformats.org/officeDocument/2006/relationships/header" Target="header23.xml" /><Relationship Id="rId31" Type="http://schemas.openxmlformats.org/officeDocument/2006/relationships/header" Target="header24.xml" /><Relationship Id="rId32" Type="http://schemas.openxmlformats.org/officeDocument/2006/relationships/header" Target="header25.xml" /><Relationship Id="rId33" Type="http://schemas.openxmlformats.org/officeDocument/2006/relationships/header" Target="header26.xml" /><Relationship Id="rId34" Type="http://schemas.openxmlformats.org/officeDocument/2006/relationships/header" Target="header27.xml" /><Relationship Id="rId35" Type="http://schemas.openxmlformats.org/officeDocument/2006/relationships/header" Target="header28.xml" /><Relationship Id="rId36" Type="http://schemas.openxmlformats.org/officeDocument/2006/relationships/header" Target="header29.xml" /><Relationship Id="rId37" Type="http://schemas.openxmlformats.org/officeDocument/2006/relationships/header" Target="header30.xml" /><Relationship Id="rId38" Type="http://schemas.openxmlformats.org/officeDocument/2006/relationships/header" Target="header31.xml" /><Relationship Id="rId39" Type="http://schemas.openxmlformats.org/officeDocument/2006/relationships/header" Target="header32.xml" /><Relationship Id="rId40" Type="http://schemas.openxmlformats.org/officeDocument/2006/relationships/header" Target="header33.xml" /><Relationship Id="rId41" Type="http://schemas.openxmlformats.org/officeDocument/2006/relationships/header" Target="header34.xml" /><Relationship Id="rId42" Type="http://schemas.openxmlformats.org/officeDocument/2006/relationships/header" Target="header35.xml" /><Relationship Id="rId43" Type="http://schemas.openxmlformats.org/officeDocument/2006/relationships/header" Target="header36.xml" /><Relationship Id="rId44" Type="http://schemas.openxmlformats.org/officeDocument/2006/relationships/header" Target="header37.xml" /><Relationship Id="rId45" Type="http://schemas.openxmlformats.org/officeDocument/2006/relationships/header" Target="header38.xml" /><Relationship Id="rId46" Type="http://schemas.openxmlformats.org/officeDocument/2006/relationships/footer" Target="footer1.xml" /><Relationship Id="rId47" Type="http://schemas.openxmlformats.org/officeDocument/2006/relationships/footer" Target="footer2.xml" /><Relationship Id="rId48" Type="http://schemas.openxmlformats.org/officeDocument/2006/relationships/footer" Target="footer3.xml" /><Relationship Id="rId49" Type="http://schemas.openxmlformats.org/officeDocument/2006/relationships/footer" Target="footer4.xml" /><Relationship Id="rId50" Type="http://schemas.openxmlformats.org/officeDocument/2006/relationships/footer" Target="footer5.xml" /><Relationship Id="rId51" Type="http://schemas.openxmlformats.org/officeDocument/2006/relationships/footer" Target="footer6.xml" /><Relationship Id="rId52" Type="http://schemas.openxmlformats.org/officeDocument/2006/relationships/footer" Target="footer7.xml" /><Relationship Id="rId53" Type="http://schemas.openxmlformats.org/officeDocument/2006/relationships/footer" Target="footer8.xml" /><Relationship Id="rId54" Type="http://schemas.openxmlformats.org/officeDocument/2006/relationships/footer" Target="footer9.xml" /><Relationship Id="rId55" Type="http://schemas.openxmlformats.org/officeDocument/2006/relationships/footer" Target="footer10.xml" /><Relationship Id="rId56" Type="http://schemas.openxmlformats.org/officeDocument/2006/relationships/footer" Target="footer11.xml" /><Relationship Id="rId57" Type="http://schemas.openxmlformats.org/officeDocument/2006/relationships/footer" Target="footer12.xml" /><Relationship Id="rId58" Type="http://schemas.openxmlformats.org/officeDocument/2006/relationships/footer" Target="footer13.xml" /><Relationship Id="rId59" Type="http://schemas.openxmlformats.org/officeDocument/2006/relationships/footer" Target="footer14.xml" /><Relationship Id="rId60" Type="http://schemas.openxmlformats.org/officeDocument/2006/relationships/footer" Target="footer15.xml" /><Relationship Id="rId61" Type="http://schemas.openxmlformats.org/officeDocument/2006/relationships/footer" Target="footer16.xml" /><Relationship Id="rId62" Type="http://schemas.openxmlformats.org/officeDocument/2006/relationships/footer" Target="footer17.xml" /><Relationship Id="rId63" Type="http://schemas.openxmlformats.org/officeDocument/2006/relationships/footer" Target="footer18.xml" /><Relationship Id="rId64" Type="http://schemas.openxmlformats.org/officeDocument/2006/relationships/footer" Target="footer19.xml" /><Relationship Id="rId65" Type="http://schemas.openxmlformats.org/officeDocument/2006/relationships/footer" Target="footer20.xml" /><Relationship Id="rId66" Type="http://schemas.openxmlformats.org/officeDocument/2006/relationships/footer" Target="footer21.xml" /><Relationship Id="rId67" Type="http://schemas.openxmlformats.org/officeDocument/2006/relationships/footer" Target="footer22.xml" /><Relationship Id="rId68" Type="http://schemas.openxmlformats.org/officeDocument/2006/relationships/footer" Target="footer23.xml" /><Relationship Id="rId69" Type="http://schemas.openxmlformats.org/officeDocument/2006/relationships/footer" Target="footer24.xml" /><Relationship Id="rId70" Type="http://schemas.openxmlformats.org/officeDocument/2006/relationships/footer" Target="footer25.xml" /><Relationship Id="rId71" Type="http://schemas.openxmlformats.org/officeDocument/2006/relationships/footer" Target="footer26.xml" /><Relationship Id="rId72" Type="http://schemas.openxmlformats.org/officeDocument/2006/relationships/footer" Target="footer27.xml" /><Relationship Id="rId73" Type="http://schemas.openxmlformats.org/officeDocument/2006/relationships/footer" Target="footer28.xml" /><Relationship Id="rId74" Type="http://schemas.openxmlformats.org/officeDocument/2006/relationships/footer" Target="footer29.xml" /><Relationship Id="rId75" Type="http://schemas.openxmlformats.org/officeDocument/2006/relationships/footer" Target="footer30.xml" /><Relationship Id="rId76" Type="http://schemas.openxmlformats.org/officeDocument/2006/relationships/footer" Target="footer31.xml" /><Relationship Id="rId77" Type="http://schemas.openxmlformats.org/officeDocument/2006/relationships/footer" Target="footer32.xml" /><Relationship Id="rId78" Type="http://schemas.openxmlformats.org/officeDocument/2006/relationships/footer" Target="footer33.xml" /><Relationship Id="rId79" Type="http://schemas.openxmlformats.org/officeDocument/2006/relationships/footer" Target="footer34.xml" /><Relationship Id="rId80" Type="http://schemas.openxmlformats.org/officeDocument/2006/relationships/footer" Target="footer35.xml" /><Relationship Id="rId81" Type="http://schemas.openxmlformats.org/officeDocument/2006/relationships/footer" Target="footer36.xml" /><Relationship Id="rId82" Type="http://schemas.openxmlformats.org/officeDocument/2006/relationships/footer" Target="footer37.xml" /><Relationship Id="rId83" Type="http://schemas.openxmlformats.org/officeDocument/2006/relationships/footer" Target="footer38.xml" /><Relationship Id="rId84" Type="http://schemas.openxmlformats.org/officeDocument/2006/relationships/image" Target="media/image1.png"/><Relationship Id="rId85" Type="http://schemas.openxmlformats.org/officeDocument/2006/relationships/hyperlink" Target="https://www.consultant.ru" TargetMode="External"/><Relationship Id="rId86" Type="http://schemas.openxmlformats.org/officeDocument/2006/relationships/hyperlink" Target="https://www.consultan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КонсультантПлюс Версия 4025.00.50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16.10.2023 N 2846-р
(ред. от 27.06.2026)
&lt;О плане реализации Стратегии социально-экономического развития Сибирского федерального округа до 2035 года&gt;</dc:title>
  <dc:creator>Минэкономразвития РА</dc:creator>
  <cp:lastModifiedBy>Маташев Владимир Алексеевич</cp:lastModifiedBy>
  <cp:revision>3</cp:revision>
  <dcterms:created xsi:type="dcterms:W3CDTF">2026-09-03T03:44:00Z</dcterms:created>
  <dcterms:modified xsi:type="dcterms:W3CDTF">2026-09-03T03:47:42Z</dcterms:modified>
</cp:coreProperties>
</file>