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A6ECA" w14:textId="77777777" w:rsidR="00606475" w:rsidRPr="00CA0AD9" w:rsidRDefault="00606475" w:rsidP="00606475">
      <w:pPr>
        <w:tabs>
          <w:tab w:val="left" w:pos="5310"/>
        </w:tabs>
        <w:spacing w:after="0"/>
        <w:jc w:val="center"/>
        <w:rPr>
          <w:rFonts w:ascii="Times New Roman" w:hAnsi="Times New Roman" w:cs="Times New Roman"/>
          <w:b/>
          <w:bCs/>
          <w:sz w:val="28"/>
          <w:szCs w:val="28"/>
        </w:rPr>
      </w:pPr>
      <w:r>
        <w:rPr>
          <w:rFonts w:ascii="Times New Roman" w:hAnsi="Times New Roman" w:cs="Times New Roman"/>
          <w:b/>
          <w:bCs/>
          <w:sz w:val="28"/>
          <w:szCs w:val="28"/>
        </w:rPr>
        <w:t>Информация о развитии сферы туристской индустрии Республики Алтай в 2024 году</w:t>
      </w:r>
    </w:p>
    <w:p w14:paraId="7E21BA5B" w14:textId="77777777" w:rsidR="001635FD" w:rsidRDefault="001635FD">
      <w:pPr>
        <w:spacing w:after="0"/>
        <w:jc w:val="both"/>
        <w:outlineLvl w:val="0"/>
        <w:rPr>
          <w:rFonts w:ascii="Times New Roman" w:eastAsiaTheme="minorHAnsi" w:hAnsi="Times New Roman" w:cs="Times New Roman"/>
          <w:sz w:val="28"/>
          <w:szCs w:val="28"/>
        </w:rPr>
      </w:pPr>
    </w:p>
    <w:p w14:paraId="6EF739E7" w14:textId="77777777" w:rsidR="001635FD" w:rsidRDefault="00000000">
      <w:pPr>
        <w:spacing w:after="0"/>
        <w:ind w:firstLine="540"/>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Государственная программа «Развитие внутреннего и въездного туризма» (далее - госпрограмма) направлена на достижение цели – «создание условий для повышения конкурентоспособности туристского рынка Республики Алтай, удовлетворяющего потребностям российских и иностранных граждан в качественных туристских услугах».</w:t>
      </w:r>
    </w:p>
    <w:p w14:paraId="1D755512" w14:textId="77777777" w:rsidR="001635FD" w:rsidRDefault="00000000">
      <w:pPr>
        <w:spacing w:after="0"/>
        <w:ind w:firstLine="540"/>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Всего в структуре государственной программы предусмотрено 5 структурных элементов:</w:t>
      </w:r>
    </w:p>
    <w:p w14:paraId="394D5AA6" w14:textId="77777777" w:rsidR="001635FD" w:rsidRDefault="00000000">
      <w:pPr>
        <w:spacing w:after="0"/>
        <w:ind w:firstLine="540"/>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3 региональных проекта: «Развитие туристической инфраструктуры», «Реализация индивидуальной программы социально-экономического развития Республики Алтай в сфере туризма», «Развитие инфраструктуры туристско-рекреационных кластеров».</w:t>
      </w:r>
    </w:p>
    <w:p w14:paraId="679B543D" w14:textId="77777777" w:rsidR="001635FD" w:rsidRDefault="00000000">
      <w:pPr>
        <w:spacing w:after="0"/>
        <w:ind w:firstLine="540"/>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2 комплекса процессных мероприятий: «Позиционирование Республики Алтай как благоприятного региона на внутреннем и мировом туристских рынках», «Создание условий для реализации государственной программы Республики Алтай «Развитие внутреннего и въездного туризма». </w:t>
      </w:r>
    </w:p>
    <w:p w14:paraId="4CFBA25E" w14:textId="77777777" w:rsidR="001635FD" w:rsidRDefault="00000000">
      <w:pPr>
        <w:spacing w:after="0"/>
        <w:ind w:firstLine="540"/>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На реализацию государственной программы в 2024 году за счет средств республиканского бюджета Республики Алтай направлено 271 158,65 тыс. рублей, что составляет 26,0 % от суммы бюджетных средств, предусмотренных республиканским бюджетом Республики Алтай на государственную программу, из них: из федерального бюджета - 241 442,78 тыс. руб., из республиканского бюджета Республики Алтай – 29 715,87 тыс. руб. Кассовое исполнение по состоянию на 1 января 2025 года составляет 100%.</w:t>
      </w:r>
    </w:p>
    <w:p w14:paraId="6C90D3CD"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рамках государственной программы предусмотрены показатели:</w:t>
      </w:r>
    </w:p>
    <w:p w14:paraId="0B1A4FA5" w14:textId="77777777" w:rsidR="001635FD" w:rsidRDefault="00000000">
      <w:pPr>
        <w:spacing w:after="0"/>
        <w:ind w:firstLine="709"/>
        <w:jc w:val="both"/>
        <w:rPr>
          <w:rFonts w:ascii="Times New Roman" w:eastAsiaTheme="minorHAnsi" w:hAnsi="Times New Roman" w:cs="Times New Roman"/>
          <w:sz w:val="28"/>
          <w:szCs w:val="28"/>
        </w:rPr>
      </w:pPr>
      <w:bookmarkStart w:id="0" w:name="_Hlk191997634"/>
      <w:r>
        <w:rPr>
          <w:rFonts w:ascii="Times New Roman" w:eastAsiaTheme="minorHAnsi" w:hAnsi="Times New Roman" w:cs="Times New Roman"/>
          <w:sz w:val="28"/>
          <w:szCs w:val="28"/>
        </w:rPr>
        <w:t>- оценка туристского потока (по количеству поездок) – 1123,68 тыс. чел.</w:t>
      </w:r>
    </w:p>
    <w:p w14:paraId="0B6E1D46"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численность размещенных лиц в коллективных средствах размещения – 415,41 тыс. чел.</w:t>
      </w:r>
    </w:p>
    <w:p w14:paraId="1A65BFFA"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количество туристических поездок по территории Российской Федерации – 054 млн. чел.</w:t>
      </w:r>
      <w:bookmarkEnd w:id="0"/>
    </w:p>
    <w:p w14:paraId="4C82A07A"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 итогам 2024 года достигнуты показатели:</w:t>
      </w:r>
    </w:p>
    <w:p w14:paraId="4A534D2C"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оценка туристского потока (по количеству поездок) – 999,67 тыс. чел.</w:t>
      </w:r>
      <w:r>
        <w:rPr>
          <w:rFonts w:ascii="Times New Roman" w:hAnsi="Times New Roman" w:cs="Times New Roman"/>
          <w:sz w:val="28"/>
          <w:szCs w:val="28"/>
        </w:rPr>
        <w:t xml:space="preserve"> Значение показателя представлено согласно оперативным месячным данным за январь-ноябрь 2024 г. </w:t>
      </w:r>
      <w:r>
        <w:rPr>
          <w:rFonts w:ascii="Times New Roman" w:eastAsiaTheme="minorHAnsi" w:hAnsi="Times New Roman" w:cs="Times New Roman"/>
          <w:sz w:val="28"/>
          <w:szCs w:val="28"/>
        </w:rPr>
        <w:t>Фактическое</w:t>
      </w:r>
      <w:r>
        <w:rPr>
          <w:rFonts w:ascii="Times New Roman" w:eastAsiaTheme="minorHAnsi" w:hAnsi="Times New Roman" w:cs="Times New Roman"/>
          <w:sz w:val="32"/>
          <w:szCs w:val="32"/>
        </w:rPr>
        <w:t xml:space="preserve"> </w:t>
      </w:r>
      <w:r>
        <w:rPr>
          <w:rFonts w:ascii="Times New Roman" w:eastAsiaTheme="minorHAnsi" w:hAnsi="Times New Roman" w:cs="Times New Roman"/>
          <w:sz w:val="28"/>
          <w:szCs w:val="28"/>
        </w:rPr>
        <w:t>значение показателя за 2024 г. будет представлено в уточняющем отчете при появлении соответствующей информации в ЕМИСС в апреле 2025 г.</w:t>
      </w:r>
    </w:p>
    <w:p w14:paraId="78C47D8D"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численность размещенных лиц в коллективных средствах размещения – 434,77 тыс. чел.</w:t>
      </w:r>
    </w:p>
    <w:p w14:paraId="251191FF"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количество туристических поездок по территории Российской Федерации – 0,4377 млн. чел.</w:t>
      </w:r>
      <w:r>
        <w:t xml:space="preserve"> </w:t>
      </w:r>
      <w:r>
        <w:rPr>
          <w:rFonts w:ascii="Times New Roman" w:eastAsiaTheme="minorHAnsi" w:hAnsi="Times New Roman" w:cs="Times New Roman"/>
          <w:sz w:val="28"/>
          <w:szCs w:val="28"/>
        </w:rPr>
        <w:t xml:space="preserve">В соответствии со статистическими данными, предоставляемыми Федеральной службой государственной статистики (Росстатом), и публикуемыми в Единой межведомственной информационно-статистической системе (ЕМИСС), фактическое значение показателя «Численность размещенных лиц в коллективных средствах размещения (оперативные данные)», используемого при расчете показателя «Число туристских поездок» в рамках государственной программы «Развитие туризма», за январь-ноябрь составило 0,4347 млн человек. </w:t>
      </w:r>
      <w:bookmarkStart w:id="1" w:name="_Hlk191998284"/>
      <w:r>
        <w:rPr>
          <w:rFonts w:ascii="Times New Roman" w:eastAsiaTheme="minorHAnsi" w:hAnsi="Times New Roman" w:cs="Times New Roman"/>
          <w:sz w:val="28"/>
          <w:szCs w:val="28"/>
        </w:rPr>
        <w:t>Фактическое значение показателя «Число туристских поездок» за 2024 г. будет представлено в уточняющем отчете при появлении соответствующей информации в ЕМИСС в апреле 2025 г.</w:t>
      </w:r>
      <w:bookmarkEnd w:id="1"/>
    </w:p>
    <w:p w14:paraId="2E1A9C36" w14:textId="77777777" w:rsidR="001635FD" w:rsidRDefault="001635FD">
      <w:pPr>
        <w:spacing w:after="0"/>
        <w:jc w:val="both"/>
        <w:rPr>
          <w:rFonts w:ascii="Times New Roman" w:eastAsiaTheme="minorHAnsi" w:hAnsi="Times New Roman" w:cs="Times New Roman"/>
          <w:sz w:val="28"/>
          <w:szCs w:val="28"/>
        </w:rPr>
      </w:pPr>
    </w:p>
    <w:p w14:paraId="4DE77C6A" w14:textId="77777777" w:rsidR="001635FD" w:rsidRDefault="00000000">
      <w:pPr>
        <w:spacing w:after="0"/>
        <w:jc w:val="center"/>
        <w:rPr>
          <w:rFonts w:ascii="Times New Roman" w:eastAsiaTheme="minorHAnsi" w:hAnsi="Times New Roman" w:cs="Times New Roman"/>
          <w:b/>
          <w:bCs/>
          <w:sz w:val="28"/>
          <w:szCs w:val="28"/>
        </w:rPr>
      </w:pPr>
      <w:r>
        <w:rPr>
          <w:rFonts w:ascii="Times New Roman" w:eastAsiaTheme="minorHAnsi" w:hAnsi="Times New Roman" w:cs="Times New Roman"/>
          <w:b/>
          <w:bCs/>
          <w:sz w:val="28"/>
          <w:szCs w:val="28"/>
        </w:rPr>
        <w:t>Обобщенные сведения о ходе реализации государственной программы за отчетный период</w:t>
      </w:r>
    </w:p>
    <w:p w14:paraId="449CBC35" w14:textId="77777777" w:rsidR="001635FD" w:rsidRDefault="001635FD">
      <w:pPr>
        <w:spacing w:after="0"/>
        <w:jc w:val="center"/>
        <w:rPr>
          <w:rFonts w:ascii="Times New Roman" w:eastAsiaTheme="minorHAnsi" w:hAnsi="Times New Roman" w:cs="Times New Roman"/>
          <w:sz w:val="28"/>
          <w:szCs w:val="28"/>
        </w:rPr>
      </w:pPr>
    </w:p>
    <w:p w14:paraId="4BED24F4"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рамках регионального проекта «Развитие туристической инфраструктуры (Республика Алтай)» соглашением от 29 декабря 2023 г. № 139-09-2024-146 предметом которого является предоставление из федерального бюджета в 2024 году бюджету Республики Алтай единой субсидии в целях достижения показателя государственной программы Российской Федерации «Развитие туризма» планируются реализовано мероприятие в целях достижения показателя государственной программы «Число туристских поездок». Согласно условиям, единая субсидия предоставляется на набор мероприятий, определяемый регионом по своему усмотрению в целях увеличения турпотока. В 2024 года реализованы следующие мероприятия:</w:t>
      </w:r>
    </w:p>
    <w:p w14:paraId="63AF8D77" w14:textId="77777777" w:rsidR="001635FD" w:rsidRDefault="00000000">
      <w:pPr>
        <w:spacing w:after="0"/>
        <w:ind w:firstLine="540"/>
        <w:jc w:val="both"/>
        <w:rPr>
          <w:rFonts w:ascii="Times New Roman" w:eastAsiaTheme="minorHAnsi" w:hAnsi="Times New Roman" w:cs="Times New Roman"/>
          <w:sz w:val="28"/>
          <w:szCs w:val="28"/>
        </w:rPr>
      </w:pPr>
      <w:bookmarkStart w:id="2" w:name="_Hlk171681411"/>
      <w:bookmarkStart w:id="3" w:name="_Hlk171689591"/>
      <w:r>
        <w:rPr>
          <w:rFonts w:ascii="Times New Roman" w:eastAsiaTheme="minorHAnsi" w:hAnsi="Times New Roman" w:cs="Times New Roman"/>
          <w:sz w:val="28"/>
          <w:szCs w:val="28"/>
        </w:rPr>
        <w:t xml:space="preserve">В мае 2024 г. на портале предоставления мер финансовой государственной поддержки объявлен конкурсный отбор на предоставление грантов в форме субсидии по утвержденным направлениям единой субсидии. </w:t>
      </w:r>
    </w:p>
    <w:p w14:paraId="60D2EC7D"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Конкурсный отбор 28 мая 2024 г. отменен, на основании решения, принятого членами комиссии конкурсного отбора, в связи с отсутствием технической возможности завершения процесса отбора на платформе «Портал предоставления мер финансовой государственной поддержки». </w:t>
      </w:r>
    </w:p>
    <w:p w14:paraId="16C76495"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целях объявления повторного конкурсного отбора в Правила предоставления грантов в форме субсидии на развитие и поддержку внутреннего и въездного туризма в Республике Алтай внесены изменения </w:t>
      </w:r>
      <w:r>
        <w:rPr>
          <w:rFonts w:ascii="Times New Roman" w:eastAsiaTheme="minorHAnsi" w:hAnsi="Times New Roman" w:cs="Times New Roman"/>
          <w:sz w:val="28"/>
          <w:szCs w:val="28"/>
        </w:rPr>
        <w:lastRenderedPageBreak/>
        <w:t>постановлением Правительства Республики Алтай от 14 июня 2024 г. № 228. Повторный конкурсный отбор объявлен 21 июня 2024 года. Завершился прием заявок на конкурсный отбор 21 июля 2024 г., всего подано 23 заявки на общую сумму 89,6 млн рублей. из них до оценки экспертами допущено 9 заявок на общую сумму 26,4 млн. рублей, 14 заявок на общую сумму 56,15 млн. рублей не допущено в соответствии с требованиями Правил.</w:t>
      </w:r>
    </w:p>
    <w:p w14:paraId="7A6A748D"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С победителями конкурсного отбора 22 августа текущего года подписаны соглашения в системе ГИИС «Электронный бюджет», 30 августа 2024 г. средства перечислены получателям поддержки в полном объеме. Кассовое освоение средств Министерством составила 26,4 млн рублей (33 %). </w:t>
      </w:r>
    </w:p>
    <w:p w14:paraId="61064FEA"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На не распределённые средства в размере 51,67 млн рублей (67%) объявлен конкурсный отбор. Прием заявок осуществлялся 9 августа по 8 сентября 2024 г. Всего подана 31 заявка (1 отозвана участником отбора) на общую сумму 77,3 млн рублей. из них до оценки экспертами допущена 21 заявка, 9 заявок не допущено в соответствии с требованиями Правил. Субсидии получат 20 участников отбора.</w:t>
      </w:r>
    </w:p>
    <w:p w14:paraId="4A34A63D"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С победителями конкурсного отбора в октябре текущего года подписаны соглашения в системе ГИИС «Электронный бюджет», средства перечислены получателям государственной поддержки. </w:t>
      </w:r>
      <w:bookmarkStart w:id="4" w:name="_Hlk190949933"/>
      <w:r>
        <w:rPr>
          <w:rFonts w:ascii="Times New Roman" w:eastAsiaTheme="minorHAnsi" w:hAnsi="Times New Roman" w:cs="Times New Roman"/>
          <w:sz w:val="28"/>
          <w:szCs w:val="28"/>
        </w:rPr>
        <w:t xml:space="preserve">Получателями субсидий итоговые отчеты о реализации сданы. </w:t>
      </w:r>
      <w:bookmarkEnd w:id="4"/>
    </w:p>
    <w:p w14:paraId="60DA5105"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Всего на реализацию мероприятия было предусмотрено 86 959, 40 тыс. рублей из них: из федерального бюджета - 86 089, 80 тыс. рублей, из республиканского бюджета Республики Алтай – 869,60 тыс. рублей. </w:t>
      </w:r>
      <w:bookmarkEnd w:id="2"/>
    </w:p>
    <w:p w14:paraId="32630502"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На оснований изменений, внесенных в распределение единой субсидии на достижение показателей государственной программы Российской Федерации «Развитие туризма» на 2024 год согласно распоряжению Правительства Российской Федерации от 15 марта 2024 г. № 617-р лимиты единой субсидии уменьшены на 8 892,32 тыс. рублей, и составили 78 067,07 тыс. рублей из них: из федерального бюджета – 77 286,4 тыс. рублей, из республиканского бюджета Республики Алтай – 780,67 тыс. рублей. </w:t>
      </w:r>
    </w:p>
    <w:p w14:paraId="1BC3EF8D"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ходе реализации было внесено 15 изменений в проект, связанные с актуализацией состава команды проекта, </w:t>
      </w:r>
      <w:bookmarkStart w:id="5" w:name="_Hlk190954796"/>
      <w:r>
        <w:rPr>
          <w:rFonts w:ascii="Times New Roman" w:eastAsiaTheme="minorHAnsi" w:hAnsi="Times New Roman" w:cs="Times New Roman"/>
          <w:sz w:val="28"/>
          <w:szCs w:val="28"/>
        </w:rPr>
        <w:t>пересмотра сроков объявления конкурсного отбора в связи с отменой первого конкурного отбора</w:t>
      </w:r>
      <w:bookmarkEnd w:id="5"/>
      <w:r>
        <w:rPr>
          <w:rFonts w:ascii="Times New Roman" w:eastAsiaTheme="minorHAnsi" w:hAnsi="Times New Roman" w:cs="Times New Roman"/>
          <w:sz w:val="28"/>
          <w:szCs w:val="28"/>
        </w:rPr>
        <w:t xml:space="preserve">, </w:t>
      </w:r>
      <w:bookmarkStart w:id="6" w:name="_Hlk191311984"/>
      <w:r>
        <w:rPr>
          <w:rFonts w:ascii="Times New Roman" w:eastAsiaTheme="minorHAnsi" w:hAnsi="Times New Roman" w:cs="Times New Roman"/>
          <w:sz w:val="28"/>
          <w:szCs w:val="28"/>
        </w:rPr>
        <w:t>перераспределением бюджетных ассигнований и приведением в соответствие к Закону Республики Алтай от 1 апреля 2024 г. № 1-РЗ «О внесении изменений в Закон Республики Алтай «О республиканском бюджете Республики Алтай на 2024 год и на плановый период 2025 и 2026 годов»</w:t>
      </w:r>
      <w:bookmarkEnd w:id="6"/>
      <w:r>
        <w:rPr>
          <w:rFonts w:ascii="Times New Roman" w:eastAsiaTheme="minorHAnsi" w:hAnsi="Times New Roman" w:cs="Times New Roman"/>
          <w:sz w:val="28"/>
          <w:szCs w:val="28"/>
        </w:rPr>
        <w:t xml:space="preserve">, а также в части дополнения новыми контрольными точками в связи с объявлением второго конкурсного отбора. </w:t>
      </w:r>
    </w:p>
    <w:p w14:paraId="46C9B52F"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xml:space="preserve">Показатели не предусмотрены. </w:t>
      </w:r>
      <w:bookmarkStart w:id="7" w:name="_Hlk190949967"/>
      <w:r>
        <w:rPr>
          <w:rFonts w:ascii="Times New Roman" w:eastAsiaTheme="minorHAnsi" w:hAnsi="Times New Roman" w:cs="Times New Roman"/>
          <w:sz w:val="28"/>
          <w:szCs w:val="28"/>
        </w:rPr>
        <w:t>Кассовое исполнение по состоянию на 1 января 2025 года составляет 100%.</w:t>
      </w:r>
      <w:bookmarkEnd w:id="3"/>
      <w:bookmarkEnd w:id="7"/>
    </w:p>
    <w:p w14:paraId="4338B86C"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рамках регионального проекта «Развитие инфраструктуры туристско-рекреационных кластеров» предусмотрена реализация мероприятия «Обеспечено технологическое присоединение энергопринимающих устройств в целях реализации инфраструктурных проектов в коммунальной сфере» согласно которому должно быть обеспечено технологическое присоединение к сетям электроснабжения инвестиционного проекта «Строительство гостиничного комплекса Алтай-Велнес Вилладж» и технологическое присоединение к ПС 110 </w:t>
      </w:r>
      <w:proofErr w:type="spellStart"/>
      <w:r>
        <w:rPr>
          <w:rFonts w:ascii="Times New Roman" w:eastAsiaTheme="minorHAnsi" w:hAnsi="Times New Roman" w:cs="Times New Roman"/>
          <w:sz w:val="28"/>
          <w:szCs w:val="28"/>
        </w:rPr>
        <w:t>кВ</w:t>
      </w:r>
      <w:proofErr w:type="spellEnd"/>
      <w:r>
        <w:rPr>
          <w:rFonts w:ascii="Times New Roman" w:eastAsiaTheme="minorHAnsi" w:hAnsi="Times New Roman" w:cs="Times New Roman"/>
          <w:sz w:val="28"/>
          <w:szCs w:val="28"/>
        </w:rPr>
        <w:t xml:space="preserve"> Алтайская долина для дальнейшего технологического присоединения инвестиционных проектов «Строительство и эксплуатация рекреационно-оздоровительного комплекса «Катунь» и «Жилой микрорайон «</w:t>
      </w:r>
      <w:proofErr w:type="spellStart"/>
      <w:r>
        <w:rPr>
          <w:rFonts w:ascii="Times New Roman" w:eastAsiaTheme="minorHAnsi" w:hAnsi="Times New Roman" w:cs="Times New Roman"/>
          <w:sz w:val="28"/>
          <w:szCs w:val="28"/>
        </w:rPr>
        <w:t>Ухтюба</w:t>
      </w:r>
      <w:proofErr w:type="spellEnd"/>
      <w:r>
        <w:rPr>
          <w:rFonts w:ascii="Times New Roman" w:eastAsiaTheme="minorHAnsi" w:hAnsi="Times New Roman" w:cs="Times New Roman"/>
          <w:sz w:val="28"/>
          <w:szCs w:val="28"/>
        </w:rPr>
        <w:t>» в с. Майма Майминского сельского поселения, Майминского района, Республики Алтай».</w:t>
      </w:r>
    </w:p>
    <w:p w14:paraId="7207D3BC"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w:t>
      </w:r>
      <w:proofErr w:type="spellStart"/>
      <w:r>
        <w:rPr>
          <w:rFonts w:ascii="Times New Roman" w:eastAsiaTheme="minorHAnsi" w:hAnsi="Times New Roman" w:cs="Times New Roman"/>
          <w:sz w:val="28"/>
          <w:szCs w:val="28"/>
        </w:rPr>
        <w:t>в</w:t>
      </w:r>
      <w:proofErr w:type="spellEnd"/>
      <w:r>
        <w:rPr>
          <w:rFonts w:ascii="Times New Roman" w:eastAsiaTheme="minorHAnsi" w:hAnsi="Times New Roman" w:cs="Times New Roman"/>
          <w:sz w:val="28"/>
          <w:szCs w:val="28"/>
        </w:rPr>
        <w:t xml:space="preserve"> целях перераспределения предусмотренных средств Министерством строительства и жилищно-коммунального хозяйства Республики Алтай направлена заявка в адрес Министерства строительства и жилищно-коммунального хозяйства Российской Федерации.</w:t>
      </w:r>
      <w:r>
        <w:rPr>
          <w:rFonts w:ascii="Times New Roman" w:hAnsi="Times New Roman" w:cs="Times New Roman"/>
          <w:sz w:val="28"/>
          <w:szCs w:val="28"/>
        </w:rPr>
        <w:t xml:space="preserve"> </w:t>
      </w:r>
      <w:r>
        <w:rPr>
          <w:rFonts w:ascii="Times New Roman" w:eastAsiaTheme="minorHAnsi" w:hAnsi="Times New Roman" w:cs="Times New Roman"/>
          <w:sz w:val="28"/>
          <w:szCs w:val="28"/>
        </w:rPr>
        <w:t>Предусмотренные средства перераспределены на 2025 год.</w:t>
      </w:r>
    </w:p>
    <w:p w14:paraId="3152BE98"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Всего на реализацию мероприятия из республиканского бюджета Республики Алтай было предусмотрено 284 674,00 тыс. рублей. Средства перераспределены на 2025 год. Кассовое исполнение отсутствует.</w:t>
      </w:r>
    </w:p>
    <w:p w14:paraId="4E66AB41"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ходе реализации было внесено 4 изменений в проект, связанных с актуализацией состава команды проекта, перераспределением бюджетных ассигнований и приведением в соответствие к Закону Республики Алтай от 1 апреля 2024 г. № 1-РЗ «О внесении изменений в Закон Республики Алтай «О республиканском бюджете Республики Алтай на 2024 год и на плановый период 2025 и 2026 годов», в связи с продлением срока реализации внесены изменения в части перераспределения значения показателя на 2025 год.</w:t>
      </w:r>
    </w:p>
    <w:p w14:paraId="53C4B4E1"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Предусмотренный показатель «Обеспечено технологическое присоединение энергопринимающих устройств в целях реализации инфраструктурных проектов в коммунальной сфере» - 4000 киловатт перенесен на 2025 год.</w:t>
      </w:r>
    </w:p>
    <w:p w14:paraId="3C5BF487"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рамках регионального проекта «Реализация индивидуальной программы социально-экономического развития Республики Алтай в сфере туризма» в 2024 году реализованы следующие мероприятия:</w:t>
      </w:r>
    </w:p>
    <w:p w14:paraId="2EC0C240" w14:textId="77777777" w:rsidR="001635FD" w:rsidRDefault="00000000">
      <w:pPr>
        <w:pStyle w:val="afd"/>
        <w:numPr>
          <w:ilvl w:val="0"/>
          <w:numId w:val="3"/>
        </w:numPr>
        <w:spacing w:after="0"/>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 развитию обеспечивающей и туристской инфраструктуры туристско-рекреационных кластеров (в том числе придорожной инфраструктуры, улучшение благоустройства туристских территорий)</w:t>
      </w:r>
    </w:p>
    <w:p w14:paraId="33E8D79C"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Утверждены</w:t>
      </w:r>
      <w:r>
        <w:rPr>
          <w:rFonts w:ascii="Times New Roman" w:hAnsi="Times New Roman" w:cs="Times New Roman"/>
          <w:sz w:val="28"/>
          <w:szCs w:val="28"/>
        </w:rPr>
        <w:t xml:space="preserve"> </w:t>
      </w:r>
      <w:r>
        <w:rPr>
          <w:rFonts w:ascii="Times New Roman" w:eastAsiaTheme="minorHAnsi" w:hAnsi="Times New Roman" w:cs="Times New Roman"/>
          <w:sz w:val="28"/>
          <w:szCs w:val="28"/>
        </w:rPr>
        <w:t xml:space="preserve">постановлением Правительства Республики Алтай от 4 апреля 2024 г. № 132 </w:t>
      </w:r>
      <w:bookmarkStart w:id="8" w:name="_Hlk171689894"/>
      <w:r>
        <w:rPr>
          <w:rFonts w:ascii="Times New Roman" w:eastAsiaTheme="minorHAnsi" w:hAnsi="Times New Roman" w:cs="Times New Roman"/>
          <w:sz w:val="28"/>
          <w:szCs w:val="28"/>
        </w:rPr>
        <w:t>Правила предоставления субсидий на поддержку развития обеспечивающей и туристской инфраструктуры туристско-рекреационных кластеров в рамках реализации индивидуальной программы социально-экономического развития Республики Алтай на 2020 - 2024 годы</w:t>
      </w:r>
      <w:bookmarkEnd w:id="8"/>
      <w:r>
        <w:rPr>
          <w:rFonts w:ascii="Times New Roman" w:eastAsiaTheme="minorHAnsi" w:hAnsi="Times New Roman" w:cs="Times New Roman"/>
          <w:sz w:val="28"/>
          <w:szCs w:val="28"/>
        </w:rPr>
        <w:t>.</w:t>
      </w:r>
    </w:p>
    <w:p w14:paraId="06A444A8"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Министерством туризма Республики Алтай 11 апреля 2024 г. на портале предоставления мер финансовой государственной поддержки объявлен конкурсный отбор на предоставление грантов в форме субсидии по утвержденным направлениям. </w:t>
      </w:r>
    </w:p>
    <w:p w14:paraId="66EA915C"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Конкурсный отбор 28 мая 2024 г. отменен, на основании решения, принятого членами комиссии конкурсного отбора, в связи с отсутствием технической возможности завершения процесса отбора на платформе «Портал предоставления мер финансовой государственной поддержки». </w:t>
      </w:r>
    </w:p>
    <w:p w14:paraId="4FD75654" w14:textId="77777777" w:rsidR="001635FD" w:rsidRDefault="00000000">
      <w:pPr>
        <w:spacing w:after="0"/>
        <w:ind w:firstLine="709"/>
        <w:jc w:val="both"/>
      </w:pPr>
      <w:r>
        <w:rPr>
          <w:rFonts w:ascii="Times New Roman" w:eastAsiaTheme="minorHAnsi" w:hAnsi="Times New Roman" w:cs="Times New Roman"/>
          <w:sz w:val="28"/>
          <w:szCs w:val="28"/>
        </w:rPr>
        <w:t>В целях объявления повторного конкурсного отбора в Правила предоставления субсидий на поддержку развития обеспечивающей и туристской инфраструктуры туристско-рекреационных кластеров в рамках реализации индивидуальной программы социально-экономического развития Республики Алтай на 2020 - 2024 годы внесены изменения постановлением Правительства Республики Алтай от 14 июня 2024 г. № 229. Повторный конкурсный отбор объявлен 17 июня 2024 года. Срок окончания приема заявок – 17 июля 2024 г.</w:t>
      </w:r>
      <w:r>
        <w:t xml:space="preserve"> </w:t>
      </w:r>
      <w:r>
        <w:rPr>
          <w:rFonts w:ascii="Times New Roman" w:eastAsiaTheme="minorHAnsi" w:hAnsi="Times New Roman" w:cs="Times New Roman"/>
          <w:sz w:val="28"/>
          <w:szCs w:val="28"/>
        </w:rPr>
        <w:t>Всего подано 52 заявки на общую сумму 264,5 млн рублей. По итогам конкурсного отбора определено 24 субъекта туристской индустрии на получение поддержки. Соглашения заключены. Средства доведены до получателей.</w:t>
      </w:r>
      <w:r>
        <w:t xml:space="preserve"> </w:t>
      </w:r>
      <w:r>
        <w:rPr>
          <w:rFonts w:ascii="Times New Roman" w:eastAsiaTheme="minorHAnsi" w:hAnsi="Times New Roman" w:cs="Times New Roman"/>
          <w:sz w:val="28"/>
          <w:szCs w:val="28"/>
        </w:rPr>
        <w:t>Получателями субсидий итоговые отчеты о реализации сданы.</w:t>
      </w:r>
    </w:p>
    <w:p w14:paraId="1317C18A"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 результатам предоставления субсидии в 2024 году увеличен номерной фонд Республики Алтай на 102 дополнительных койко-места, открыты 3 новых туристических объекта в Улаганском, Чемальском, Майминском районах, поддержка способствует расширению сезонности путем проведенных работ по обеспечению теплоснабжением, улучшению качества обслуживания, а также повышением комфортности пребывания на туристических объектах.</w:t>
      </w:r>
    </w:p>
    <w:p w14:paraId="116889A0" w14:textId="77777777" w:rsidR="001635FD" w:rsidRDefault="00000000">
      <w:pPr>
        <w:spacing w:after="0"/>
        <w:ind w:firstLine="540"/>
        <w:jc w:val="both"/>
        <w:rPr>
          <w:rFonts w:ascii="Times New Roman" w:eastAsiaTheme="minorHAnsi" w:hAnsi="Times New Roman" w:cs="Times New Roman"/>
          <w:sz w:val="28"/>
          <w:szCs w:val="28"/>
        </w:rPr>
      </w:pPr>
      <w:bookmarkStart w:id="9" w:name="_Hlk171692626"/>
      <w:r>
        <w:rPr>
          <w:rFonts w:ascii="Times New Roman" w:eastAsiaTheme="minorHAnsi" w:hAnsi="Times New Roman" w:cs="Times New Roman"/>
          <w:sz w:val="28"/>
          <w:szCs w:val="28"/>
        </w:rPr>
        <w:t xml:space="preserve">Всего на реализацию мероприятия предусмотрено 95 959,96 тыс. рублей из них: из федерального бюджета – 95 000 тыс. рублей, из республиканского бюджета Республики Алтай – 959,96 тыс. рублей. </w:t>
      </w:r>
      <w:bookmarkStart w:id="10" w:name="_Hlk190951181"/>
      <w:bookmarkStart w:id="11" w:name="_Hlk171693343"/>
      <w:bookmarkStart w:id="12" w:name="_Hlk171691292"/>
      <w:bookmarkEnd w:id="9"/>
      <w:r>
        <w:rPr>
          <w:rFonts w:ascii="Times New Roman" w:eastAsiaTheme="minorHAnsi" w:hAnsi="Times New Roman" w:cs="Times New Roman"/>
          <w:sz w:val="28"/>
          <w:szCs w:val="28"/>
        </w:rPr>
        <w:t>Кассовое исполнение по состоянию на 1 января 2025 года составляет 100%.</w:t>
      </w:r>
      <w:bookmarkEnd w:id="10"/>
    </w:p>
    <w:p w14:paraId="72748554"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Предусмотрены следующие показатели:</w:t>
      </w:r>
    </w:p>
    <w:p w14:paraId="7B2BEF48"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w:t>
      </w:r>
      <w:bookmarkStart w:id="13" w:name="_Hlk171691472"/>
      <w:r>
        <w:rPr>
          <w:rFonts w:ascii="Times New Roman" w:eastAsiaTheme="minorHAnsi" w:hAnsi="Times New Roman" w:cs="Times New Roman"/>
          <w:sz w:val="28"/>
          <w:szCs w:val="28"/>
        </w:rPr>
        <w:t xml:space="preserve">создание новых постоянных рабочих мест </w:t>
      </w:r>
      <w:bookmarkEnd w:id="13"/>
      <w:r>
        <w:rPr>
          <w:rFonts w:ascii="Times New Roman" w:eastAsiaTheme="minorHAnsi" w:hAnsi="Times New Roman" w:cs="Times New Roman"/>
          <w:sz w:val="28"/>
          <w:szCs w:val="28"/>
        </w:rPr>
        <w:t>– 100 ед.</w:t>
      </w:r>
    </w:p>
    <w:p w14:paraId="5F87A274"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привлечены </w:t>
      </w:r>
      <w:bookmarkStart w:id="14" w:name="_Hlk190950108"/>
      <w:r>
        <w:rPr>
          <w:rFonts w:ascii="Times New Roman" w:eastAsiaTheme="minorHAnsi" w:hAnsi="Times New Roman" w:cs="Times New Roman"/>
          <w:sz w:val="28"/>
          <w:szCs w:val="28"/>
        </w:rPr>
        <w:t>дополнительные</w:t>
      </w:r>
      <w:bookmarkEnd w:id="14"/>
      <w:r>
        <w:rPr>
          <w:rFonts w:ascii="Times New Roman" w:eastAsiaTheme="minorHAnsi" w:hAnsi="Times New Roman" w:cs="Times New Roman"/>
          <w:sz w:val="28"/>
          <w:szCs w:val="28"/>
        </w:rPr>
        <w:t xml:space="preserve"> внебюджетные инвестиции – 70 млн. руб.</w:t>
      </w:r>
    </w:p>
    <w:p w14:paraId="71701B5F" w14:textId="77777777" w:rsidR="001635FD" w:rsidRDefault="00000000">
      <w:pPr>
        <w:spacing w:after="0"/>
        <w:ind w:firstLine="540"/>
        <w:jc w:val="both"/>
        <w:rPr>
          <w:rFonts w:ascii="Times New Roman" w:eastAsiaTheme="minorHAnsi" w:hAnsi="Times New Roman" w:cs="Times New Roman"/>
          <w:sz w:val="28"/>
          <w:szCs w:val="28"/>
        </w:rPr>
      </w:pPr>
      <w:bookmarkStart w:id="15" w:name="_Hlk190951256"/>
      <w:bookmarkEnd w:id="11"/>
      <w:r>
        <w:rPr>
          <w:rFonts w:ascii="Times New Roman" w:eastAsiaTheme="minorHAnsi" w:hAnsi="Times New Roman" w:cs="Times New Roman"/>
          <w:sz w:val="28"/>
          <w:szCs w:val="28"/>
        </w:rPr>
        <w:t>По итогам реализации мероприятия в 2024 году:</w:t>
      </w:r>
    </w:p>
    <w:p w14:paraId="74D7068B"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 создано 147 новых рабочих мест;</w:t>
      </w:r>
    </w:p>
    <w:p w14:paraId="7822E639"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привлечено дополнительных внебюджетных инвестиций в сумме 523,85 млн. руб.</w:t>
      </w:r>
      <w:bookmarkEnd w:id="12"/>
      <w:bookmarkEnd w:id="15"/>
    </w:p>
    <w:p w14:paraId="6DE70FEA" w14:textId="77777777" w:rsidR="001635FD" w:rsidRDefault="00000000">
      <w:pPr>
        <w:pStyle w:val="afd"/>
        <w:numPr>
          <w:ilvl w:val="0"/>
          <w:numId w:val="3"/>
        </w:numPr>
        <w:spacing w:after="0"/>
        <w:ind w:left="0"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По подготовке кадров для туристской отрасли заключено Соглашение о предоставлении субсидии из республиканского бюджета Республики Алтай Автономному учреждению Республики Алтай «Региональный центр туризма и индустрии гостеприимства» в соответствии с абзацем вторым пункта 1 статьи 78.1 Бюджетного кодекса Российской Федерации в рамках подготовки кадров для туристской отрасли. </w:t>
      </w:r>
    </w:p>
    <w:p w14:paraId="545A83E9" w14:textId="77777777" w:rsidR="001635FD" w:rsidRDefault="00000000">
      <w:pPr>
        <w:spacing w:after="0"/>
        <w:ind w:firstLine="709"/>
        <w:jc w:val="both"/>
        <w:rPr>
          <w:rFonts w:ascii="Times New Roman" w:eastAsiaTheme="minorHAnsi" w:hAnsi="Times New Roman" w:cs="Times New Roman"/>
          <w:sz w:val="28"/>
          <w:szCs w:val="28"/>
        </w:rPr>
      </w:pPr>
      <w:bookmarkStart w:id="16" w:name="_Hlk190950403"/>
      <w:r>
        <w:rPr>
          <w:rFonts w:ascii="Times New Roman" w:eastAsiaTheme="minorHAnsi" w:hAnsi="Times New Roman" w:cs="Times New Roman"/>
          <w:sz w:val="28"/>
          <w:szCs w:val="28"/>
        </w:rPr>
        <w:t>Проведены мероприятия по подготовке кадров в сфере туризма:</w:t>
      </w:r>
    </w:p>
    <w:p w14:paraId="2F835DE2"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по программе повышения квалификации «Обучение поваров и официантов» </w:t>
      </w:r>
      <w:bookmarkEnd w:id="16"/>
      <w:r>
        <w:rPr>
          <w:rFonts w:ascii="Times New Roman" w:eastAsiaTheme="minorHAnsi" w:hAnsi="Times New Roman" w:cs="Times New Roman"/>
          <w:sz w:val="28"/>
          <w:szCs w:val="28"/>
        </w:rPr>
        <w:t>для жителей муниципальных образований «Усть-Коксинский район», «Кош-Агачский район», «Улаганский район».</w:t>
      </w:r>
      <w:bookmarkStart w:id="17" w:name="_Hlk171693259"/>
      <w:r>
        <w:rPr>
          <w:rFonts w:ascii="Times New Roman" w:eastAsiaTheme="minorHAnsi" w:hAnsi="Times New Roman" w:cs="Times New Roman"/>
          <w:sz w:val="28"/>
          <w:szCs w:val="28"/>
        </w:rPr>
        <w:t xml:space="preserve"> Всего прошли обучение 45 человек;</w:t>
      </w:r>
    </w:p>
    <w:p w14:paraId="5DB57194" w14:textId="77777777" w:rsidR="001635FD" w:rsidRDefault="00000000">
      <w:pPr>
        <w:spacing w:after="0"/>
        <w:ind w:firstLine="709"/>
        <w:jc w:val="both"/>
        <w:rPr>
          <w:rFonts w:ascii="Times New Roman" w:hAnsi="Times New Roman" w:cs="Times New Roman"/>
          <w:sz w:val="28"/>
          <w:szCs w:val="28"/>
        </w:rPr>
      </w:pPr>
      <w:r>
        <w:rPr>
          <w:rFonts w:ascii="Times New Roman" w:eastAsiaTheme="minorHAnsi" w:hAnsi="Times New Roman" w:cs="Times New Roman"/>
          <w:sz w:val="28"/>
          <w:szCs w:val="28"/>
        </w:rPr>
        <w:t>по программе повышения квалификации «Экскурсовод (гид)», «</w:t>
      </w:r>
      <w:r>
        <w:rPr>
          <w:rFonts w:ascii="Times New Roman" w:hAnsi="Times New Roman" w:cs="Times New Roman"/>
          <w:sz w:val="28"/>
          <w:szCs w:val="28"/>
        </w:rPr>
        <w:t xml:space="preserve">Руководитель гостиничного предприятия», «Администрирование в гостиничном сервисе», «История, культура и этнография РА», «Оказание первой медпомощи». </w:t>
      </w:r>
      <w:bookmarkStart w:id="18" w:name="_Hlk190950669"/>
      <w:bookmarkStart w:id="19" w:name="_Hlk190950969"/>
      <w:r>
        <w:rPr>
          <w:rFonts w:ascii="Times New Roman" w:hAnsi="Times New Roman" w:cs="Times New Roman"/>
          <w:sz w:val="28"/>
          <w:szCs w:val="28"/>
        </w:rPr>
        <w:t>Всего прошли обучение 165 человек</w:t>
      </w:r>
      <w:bookmarkEnd w:id="18"/>
      <w:r>
        <w:rPr>
          <w:rFonts w:ascii="Times New Roman" w:hAnsi="Times New Roman" w:cs="Times New Roman"/>
          <w:sz w:val="28"/>
          <w:szCs w:val="28"/>
        </w:rPr>
        <w:t>;</w:t>
      </w:r>
      <w:bookmarkEnd w:id="19"/>
    </w:p>
    <w:p w14:paraId="14D329BD" w14:textId="77777777" w:rsidR="001635FD" w:rsidRDefault="00000000">
      <w:pPr>
        <w:spacing w:after="0"/>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по направлению инструктор-проводник по водному туризму. </w:t>
      </w:r>
      <w:r>
        <w:rPr>
          <w:rFonts w:ascii="Times New Roman" w:hAnsi="Times New Roman" w:cs="Times New Roman"/>
          <w:sz w:val="28"/>
          <w:szCs w:val="28"/>
        </w:rPr>
        <w:t xml:space="preserve">Всего прошли обучение 30 человек. </w:t>
      </w:r>
    </w:p>
    <w:p w14:paraId="03F4EB84"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Таким образом, в течение 2024 года обучение прошли 240 работников туристской индустрии.</w:t>
      </w:r>
    </w:p>
    <w:p w14:paraId="65FBCEBD"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Проведен образовательный семинар для работников в сфере туризма с привлечением российских спикеров, в котором приняли участие порядка 100 человек. Данное мероприятие получило множество положительных отзывов и рекомендован к ежегодному проведению.</w:t>
      </w:r>
    </w:p>
    <w:p w14:paraId="083713D0"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Всего на реализацию мероприятия предусмотрено 5 000 тыс. рублей из них: из федерального бюджета – 4 950 тыс. рублей, из республиканского бюджета Республики Алтай – 50 тыс. рублей. </w:t>
      </w:r>
      <w:bookmarkStart w:id="20" w:name="_Hlk190954516"/>
      <w:r>
        <w:rPr>
          <w:rFonts w:ascii="Times New Roman" w:eastAsiaTheme="minorHAnsi" w:hAnsi="Times New Roman" w:cs="Times New Roman"/>
          <w:sz w:val="28"/>
          <w:szCs w:val="28"/>
        </w:rPr>
        <w:t>Кассовое исполнение по состоянию на 1 января 2025 года составляет 100%.</w:t>
      </w:r>
      <w:bookmarkEnd w:id="17"/>
      <w:bookmarkEnd w:id="20"/>
    </w:p>
    <w:p w14:paraId="43FFBC4C"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Предусмотрены следующие показатели:</w:t>
      </w:r>
    </w:p>
    <w:p w14:paraId="44E7901E"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количество специалистов, прошедших обучение, повышение квалификации – 240 чел. </w:t>
      </w:r>
    </w:p>
    <w:p w14:paraId="0290A6F1"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создание новых постоянных рабочих мест – 5 ед. </w:t>
      </w:r>
      <w:bookmarkStart w:id="21" w:name="_Hlk171693385"/>
    </w:p>
    <w:p w14:paraId="02612F71" w14:textId="77777777" w:rsidR="001635FD" w:rsidRDefault="00000000">
      <w:pPr>
        <w:spacing w:after="0"/>
        <w:ind w:firstLine="709"/>
        <w:jc w:val="both"/>
        <w:rPr>
          <w:rFonts w:ascii="Times New Roman" w:eastAsiaTheme="minorHAnsi" w:hAnsi="Times New Roman" w:cs="Times New Roman"/>
          <w:sz w:val="28"/>
          <w:szCs w:val="28"/>
        </w:rPr>
      </w:pPr>
      <w:bookmarkStart w:id="22" w:name="_Hlk190954531"/>
      <w:r>
        <w:rPr>
          <w:rFonts w:ascii="Times New Roman" w:eastAsiaTheme="minorHAnsi" w:hAnsi="Times New Roman" w:cs="Times New Roman"/>
          <w:sz w:val="28"/>
          <w:szCs w:val="28"/>
        </w:rPr>
        <w:t>По итогам реализации мероприятия в 2024 году:</w:t>
      </w:r>
      <w:bookmarkEnd w:id="22"/>
    </w:p>
    <w:p w14:paraId="6565A4E5"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прошли обучение 240 человек;</w:t>
      </w:r>
    </w:p>
    <w:p w14:paraId="0773C16D"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создано 5 рабочих мест. </w:t>
      </w:r>
      <w:bookmarkEnd w:id="21"/>
    </w:p>
    <w:p w14:paraId="7ED0356E"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3. По продвижению туристского продукта Республики Алтай, в том числе на международном уровне (разработка туристского бренда Республики </w:t>
      </w:r>
      <w:r>
        <w:rPr>
          <w:rFonts w:ascii="Times New Roman" w:eastAsiaTheme="minorHAnsi" w:hAnsi="Times New Roman" w:cs="Times New Roman"/>
          <w:sz w:val="28"/>
          <w:szCs w:val="28"/>
        </w:rPr>
        <w:lastRenderedPageBreak/>
        <w:t xml:space="preserve">Алтай, пресс-туры для средств массовой информации, </w:t>
      </w:r>
      <w:proofErr w:type="spellStart"/>
      <w:r>
        <w:rPr>
          <w:rFonts w:ascii="Times New Roman" w:eastAsiaTheme="minorHAnsi" w:hAnsi="Times New Roman" w:cs="Times New Roman"/>
          <w:sz w:val="28"/>
          <w:szCs w:val="28"/>
        </w:rPr>
        <w:t>инфотуры</w:t>
      </w:r>
      <w:proofErr w:type="spellEnd"/>
      <w:r>
        <w:rPr>
          <w:rFonts w:ascii="Times New Roman" w:eastAsiaTheme="minorHAnsi" w:hAnsi="Times New Roman" w:cs="Times New Roman"/>
          <w:sz w:val="28"/>
          <w:szCs w:val="28"/>
        </w:rPr>
        <w:t xml:space="preserve"> для туроператоров, участие в туристских мероприятиях, организация событийных мероприятий в Республике Алтай, разработка цифровой платформы поддержки туриндустрии (портал, единый сайт, приложение)</w:t>
      </w:r>
      <w:r>
        <w:rPr>
          <w:rFonts w:ascii="Times New Roman" w:hAnsi="Times New Roman" w:cs="Times New Roman"/>
          <w:sz w:val="28"/>
          <w:szCs w:val="28"/>
        </w:rPr>
        <w:t xml:space="preserve"> обеспечено </w:t>
      </w:r>
      <w:bookmarkStart w:id="23" w:name="_Hlk171693980"/>
      <w:r>
        <w:rPr>
          <w:rFonts w:ascii="Times New Roman" w:hAnsi="Times New Roman" w:cs="Times New Roman"/>
          <w:sz w:val="28"/>
          <w:szCs w:val="28"/>
        </w:rPr>
        <w:t xml:space="preserve">участие </w:t>
      </w:r>
      <w:r>
        <w:rPr>
          <w:rFonts w:ascii="Times New Roman" w:eastAsiaTheme="minorHAnsi" w:hAnsi="Times New Roman" w:cs="Times New Roman"/>
          <w:sz w:val="28"/>
          <w:szCs w:val="28"/>
        </w:rPr>
        <w:t xml:space="preserve">на международной туристской выставке MITT-2024. Также в течение года субъекты туристской индустрии Республики Алтай приняли участие в ряде выставок и форумах: на выставке в рамках IV Российского туристического форума «Путешествуй!», на онлайн выставке- форуме «Знай наше: Лето 2024», «Знай наше: Зима 2023/2024» медиахолдинга </w:t>
      </w:r>
      <w:proofErr w:type="spellStart"/>
      <w:r>
        <w:rPr>
          <w:rFonts w:ascii="Times New Roman" w:eastAsiaTheme="minorHAnsi" w:hAnsi="Times New Roman" w:cs="Times New Roman"/>
          <w:sz w:val="28"/>
          <w:szCs w:val="28"/>
        </w:rPr>
        <w:t>Profi.Travel</w:t>
      </w:r>
      <w:proofErr w:type="spellEnd"/>
      <w:r>
        <w:rPr>
          <w:rFonts w:ascii="Times New Roman" w:eastAsiaTheme="minorHAnsi" w:hAnsi="Times New Roman" w:cs="Times New Roman"/>
          <w:sz w:val="28"/>
          <w:szCs w:val="28"/>
        </w:rPr>
        <w:t xml:space="preserve">, XXVIII Международной туристской выставке «Курорты и туризм. Сезон 2024–2025», Международной туристской выставке-форуме «Интурмаркет. Байкал». </w:t>
      </w:r>
    </w:p>
    <w:p w14:paraId="149EBE11"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Проведено событийное мероприятие региональный фестиваль «Чике-Таманская весна», в рамках проведения мероприятия также установлены информационные щиты, выпущен информационный видеоролик, организован выездной пресс-тур, событийное мероприятие «Фестивальный </w:t>
      </w:r>
      <w:proofErr w:type="spellStart"/>
      <w:r>
        <w:rPr>
          <w:rFonts w:ascii="Times New Roman" w:eastAsiaTheme="minorHAnsi" w:hAnsi="Times New Roman" w:cs="Times New Roman"/>
          <w:sz w:val="28"/>
          <w:szCs w:val="28"/>
        </w:rPr>
        <w:t>Турсиб</w:t>
      </w:r>
      <w:proofErr w:type="spellEnd"/>
      <w:r>
        <w:rPr>
          <w:rFonts w:ascii="Times New Roman" w:eastAsiaTheme="minorHAnsi" w:hAnsi="Times New Roman" w:cs="Times New Roman"/>
          <w:sz w:val="28"/>
          <w:szCs w:val="28"/>
        </w:rPr>
        <w:t xml:space="preserve">». Данные событийные мероприятия собрали порядка 12 тыс. и 6 тыс. человек соответственно. </w:t>
      </w:r>
    </w:p>
    <w:p w14:paraId="28EE4474"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целях продвижения социального туризма оказана поддержка на проведение выездных экскурсий в рамках социального проекта «</w:t>
      </w:r>
      <w:proofErr w:type="spellStart"/>
      <w:r>
        <w:rPr>
          <w:rFonts w:ascii="Times New Roman" w:eastAsiaTheme="minorHAnsi" w:hAnsi="Times New Roman" w:cs="Times New Roman"/>
          <w:sz w:val="28"/>
          <w:szCs w:val="28"/>
        </w:rPr>
        <w:t>Байлык</w:t>
      </w:r>
      <w:proofErr w:type="spellEnd"/>
      <w:r>
        <w:rPr>
          <w:rFonts w:ascii="Times New Roman" w:eastAsiaTheme="minorHAnsi" w:hAnsi="Times New Roman" w:cs="Times New Roman"/>
          <w:sz w:val="28"/>
          <w:szCs w:val="28"/>
        </w:rPr>
        <w:t xml:space="preserve"> Алтай», продвижения водного туризма - поддержка в проведении Фестиваля на бурной воде «Кубок Катуни – Ак </w:t>
      </w:r>
      <w:proofErr w:type="spellStart"/>
      <w:r>
        <w:rPr>
          <w:rFonts w:ascii="Times New Roman" w:eastAsiaTheme="minorHAnsi" w:hAnsi="Times New Roman" w:cs="Times New Roman"/>
          <w:sz w:val="28"/>
          <w:szCs w:val="28"/>
        </w:rPr>
        <w:t>Талай</w:t>
      </w:r>
      <w:proofErr w:type="spellEnd"/>
      <w:r>
        <w:rPr>
          <w:rFonts w:ascii="Times New Roman" w:eastAsiaTheme="minorHAnsi" w:hAnsi="Times New Roman" w:cs="Times New Roman"/>
          <w:sz w:val="28"/>
          <w:szCs w:val="28"/>
        </w:rPr>
        <w:t xml:space="preserve"> </w:t>
      </w:r>
      <w:proofErr w:type="spellStart"/>
      <w:r>
        <w:rPr>
          <w:rFonts w:ascii="Times New Roman" w:eastAsiaTheme="minorHAnsi" w:hAnsi="Times New Roman" w:cs="Times New Roman"/>
          <w:sz w:val="28"/>
          <w:szCs w:val="28"/>
        </w:rPr>
        <w:t>Маргаан</w:t>
      </w:r>
      <w:proofErr w:type="spellEnd"/>
      <w:r>
        <w:rPr>
          <w:rFonts w:ascii="Times New Roman" w:eastAsiaTheme="minorHAnsi" w:hAnsi="Times New Roman" w:cs="Times New Roman"/>
          <w:sz w:val="28"/>
          <w:szCs w:val="28"/>
        </w:rPr>
        <w:t xml:space="preserve"> – Супермарафон-2024». Организованы информационные туры для туристических агентств, также проведен пресс-тур в рамках проекта «</w:t>
      </w:r>
      <w:proofErr w:type="spellStart"/>
      <w:r>
        <w:rPr>
          <w:rFonts w:ascii="Times New Roman" w:eastAsiaTheme="minorHAnsi" w:hAnsi="Times New Roman" w:cs="Times New Roman"/>
          <w:sz w:val="28"/>
          <w:szCs w:val="28"/>
        </w:rPr>
        <w:t>Медиаразведка</w:t>
      </w:r>
      <w:proofErr w:type="spellEnd"/>
      <w:r>
        <w:rPr>
          <w:rFonts w:ascii="Times New Roman" w:eastAsiaTheme="minorHAnsi" w:hAnsi="Times New Roman" w:cs="Times New Roman"/>
          <w:sz w:val="28"/>
          <w:szCs w:val="28"/>
        </w:rPr>
        <w:t>» туристического агрегатора ТУТУ, и иные информационные и пресс-туры.</w:t>
      </w:r>
    </w:p>
    <w:p w14:paraId="57C4EB68"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Организовано и проведено первое торжественное мероприятие «Премия гостеприимства «</w:t>
      </w:r>
      <w:proofErr w:type="spellStart"/>
      <w:r>
        <w:rPr>
          <w:rFonts w:ascii="Times New Roman" w:eastAsiaTheme="minorHAnsi" w:hAnsi="Times New Roman" w:cs="Times New Roman"/>
          <w:sz w:val="28"/>
          <w:szCs w:val="28"/>
        </w:rPr>
        <w:t>Тажуур</w:t>
      </w:r>
      <w:proofErr w:type="spellEnd"/>
      <w:r>
        <w:rPr>
          <w:rFonts w:ascii="Times New Roman" w:eastAsiaTheme="minorHAnsi" w:hAnsi="Times New Roman" w:cs="Times New Roman"/>
          <w:sz w:val="28"/>
          <w:szCs w:val="28"/>
        </w:rPr>
        <w:t xml:space="preserve"> 2024». Изготовлены гид-путеводитель по г. Горно-Алтайску и гид-путеводитель по Алтаю (летний, зимний тираж), изготовлена сувенирная продукция с нанесением логотипа и использованием элементов фирменного стиля, также приобретено оборудование для проведения событийных мероприятий.</w:t>
      </w:r>
    </w:p>
    <w:p w14:paraId="3887E9BF" w14:textId="77777777" w:rsidR="001635FD" w:rsidRDefault="00000000">
      <w:pPr>
        <w:spacing w:after="0"/>
        <w:ind w:firstLine="709"/>
        <w:jc w:val="both"/>
        <w:rPr>
          <w:rFonts w:ascii="Times New Roman" w:eastAsiaTheme="minorHAnsi" w:hAnsi="Times New Roman" w:cs="Times New Roman"/>
          <w:sz w:val="28"/>
          <w:szCs w:val="28"/>
        </w:rPr>
      </w:pPr>
      <w:bookmarkStart w:id="24" w:name="_Hlk190955399"/>
      <w:r>
        <w:rPr>
          <w:rFonts w:ascii="Times New Roman" w:eastAsiaTheme="minorHAnsi" w:hAnsi="Times New Roman" w:cs="Times New Roman"/>
          <w:sz w:val="28"/>
          <w:szCs w:val="28"/>
        </w:rPr>
        <w:t xml:space="preserve">Всего на реализацию мероприятия предусмотрено 53 418,18 тыс. рублей из них: из федерального бюджета – 52 884,00 тыс. рублей, из республиканского бюджета Республики Алтай – 534,18 тыс. рублей. </w:t>
      </w:r>
      <w:bookmarkStart w:id="25" w:name="_Hlk190954886"/>
      <w:r>
        <w:rPr>
          <w:rFonts w:ascii="Times New Roman" w:eastAsiaTheme="minorHAnsi" w:hAnsi="Times New Roman" w:cs="Times New Roman"/>
          <w:sz w:val="28"/>
          <w:szCs w:val="28"/>
        </w:rPr>
        <w:t>Кассовое исполнение по состоянию на 1 января 2025 года составляет 100%.</w:t>
      </w:r>
      <w:bookmarkEnd w:id="25"/>
    </w:p>
    <w:p w14:paraId="511F0C9E"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Предусмотрен показатель - создание новых постоянных рабочих мест – 15 ед.</w:t>
      </w:r>
      <w:r>
        <w:rPr>
          <w:rFonts w:ascii="Times New Roman" w:hAnsi="Times New Roman" w:cs="Times New Roman"/>
          <w:sz w:val="28"/>
          <w:szCs w:val="28"/>
        </w:rPr>
        <w:t xml:space="preserve"> </w:t>
      </w:r>
      <w:bookmarkEnd w:id="23"/>
    </w:p>
    <w:p w14:paraId="2F33E723"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По итогам реализации мероприятия в 2024 году создано 26 новых рабочих мест. </w:t>
      </w:r>
      <w:bookmarkEnd w:id="24"/>
    </w:p>
    <w:p w14:paraId="7536E61B"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lastRenderedPageBreak/>
        <w:t>4.</w:t>
      </w:r>
      <w:r>
        <w:t xml:space="preserve"> </w:t>
      </w:r>
      <w:r>
        <w:rPr>
          <w:rFonts w:ascii="Times New Roman" w:eastAsiaTheme="minorHAnsi" w:hAnsi="Times New Roman" w:cs="Times New Roman"/>
          <w:sz w:val="28"/>
          <w:szCs w:val="28"/>
        </w:rPr>
        <w:t xml:space="preserve">По созданию </w:t>
      </w:r>
      <w:bookmarkStart w:id="26" w:name="_Hlk190955335"/>
      <w:r>
        <w:rPr>
          <w:rFonts w:ascii="Times New Roman" w:eastAsiaTheme="minorHAnsi" w:hAnsi="Times New Roman" w:cs="Times New Roman"/>
          <w:sz w:val="28"/>
          <w:szCs w:val="28"/>
        </w:rPr>
        <w:t xml:space="preserve">туристско-информационного центра </w:t>
      </w:r>
      <w:bookmarkEnd w:id="26"/>
      <w:r>
        <w:rPr>
          <w:rFonts w:ascii="Times New Roman" w:eastAsiaTheme="minorHAnsi" w:hAnsi="Times New Roman" w:cs="Times New Roman"/>
          <w:sz w:val="28"/>
          <w:szCs w:val="28"/>
        </w:rPr>
        <w:t>на территории Республики Алтай</w:t>
      </w:r>
      <w:r>
        <w:t xml:space="preserve"> </w:t>
      </w:r>
      <w:r>
        <w:rPr>
          <w:rFonts w:ascii="Times New Roman" w:eastAsiaTheme="minorHAnsi" w:hAnsi="Times New Roman" w:cs="Times New Roman"/>
          <w:sz w:val="28"/>
          <w:szCs w:val="28"/>
        </w:rPr>
        <w:t>помещения туристско-информационных центров переданы в аренду субъектам туристской индустрии для ведения деятельности по данному направлению. В целях развития зимних видов туризма помещение ТИЦ передано в Горнолыжный курорт «</w:t>
      </w:r>
      <w:proofErr w:type="spellStart"/>
      <w:r>
        <w:rPr>
          <w:rFonts w:ascii="Times New Roman" w:eastAsiaTheme="minorHAnsi" w:hAnsi="Times New Roman" w:cs="Times New Roman"/>
          <w:sz w:val="28"/>
          <w:szCs w:val="28"/>
        </w:rPr>
        <w:t>Телецкий</w:t>
      </w:r>
      <w:proofErr w:type="spellEnd"/>
      <w:r>
        <w:rPr>
          <w:rFonts w:ascii="Times New Roman" w:eastAsiaTheme="minorHAnsi" w:hAnsi="Times New Roman" w:cs="Times New Roman"/>
          <w:sz w:val="28"/>
          <w:szCs w:val="28"/>
        </w:rPr>
        <w:t>», в целях развития и улучшения качества обслуживания в Чемальском районе ТИЦ передан и установлен в наиболее популярной туристической дестинации в с. Чемал.</w:t>
      </w:r>
    </w:p>
    <w:p w14:paraId="56268315" w14:textId="77777777" w:rsidR="001635FD" w:rsidRDefault="00000000">
      <w:pPr>
        <w:spacing w:after="0"/>
        <w:ind w:firstLine="709"/>
        <w:jc w:val="both"/>
        <w:rPr>
          <w:rFonts w:ascii="Times New Roman" w:eastAsiaTheme="minorHAnsi" w:hAnsi="Times New Roman" w:cs="Times New Roman"/>
          <w:sz w:val="28"/>
          <w:szCs w:val="28"/>
        </w:rPr>
      </w:pPr>
      <w:bookmarkStart w:id="27" w:name="_Hlk190955738"/>
      <w:r>
        <w:rPr>
          <w:rFonts w:ascii="Times New Roman" w:eastAsiaTheme="minorHAnsi" w:hAnsi="Times New Roman" w:cs="Times New Roman"/>
          <w:sz w:val="28"/>
          <w:szCs w:val="28"/>
        </w:rPr>
        <w:t>На реализацию мероприятия в 2024 году финансовое обеспечение не предусмотрено.</w:t>
      </w:r>
    </w:p>
    <w:p w14:paraId="1E7F9E6A"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Предусмотрен показатель - привлечение </w:t>
      </w:r>
      <w:bookmarkStart w:id="28" w:name="_Hlk190955516"/>
      <w:r>
        <w:rPr>
          <w:rFonts w:ascii="Times New Roman" w:eastAsiaTheme="minorHAnsi" w:hAnsi="Times New Roman" w:cs="Times New Roman"/>
          <w:sz w:val="28"/>
          <w:szCs w:val="28"/>
        </w:rPr>
        <w:t>дополнительных</w:t>
      </w:r>
      <w:bookmarkEnd w:id="28"/>
      <w:r>
        <w:rPr>
          <w:rFonts w:ascii="Times New Roman" w:eastAsiaTheme="minorHAnsi" w:hAnsi="Times New Roman" w:cs="Times New Roman"/>
          <w:sz w:val="28"/>
          <w:szCs w:val="28"/>
        </w:rPr>
        <w:t xml:space="preserve"> внебюджетных инвестиций – 50 млн руб. </w:t>
      </w:r>
    </w:p>
    <w:p w14:paraId="20ECFD8F"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По итогам реализации мероприятия в 2024 году привлечено дополнительных внебюджетных инвестиций в сумме 105,5 млн. руб. </w:t>
      </w:r>
      <w:bookmarkEnd w:id="27"/>
    </w:p>
    <w:p w14:paraId="3EC82181"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5. По организации экологических туристских троп и туристических маршрутов в целях их популяризации на особо охраняемых природных территориях проведена работа по продвижению на международных туристских выставках, публикации в сети интернет. Проведена акция по очистке территорий туристических объектов, локаций, троп, площадок и др. туристских объектов с привлечением жителей и гостей региона, а также работников туристской отрасли. </w:t>
      </w:r>
    </w:p>
    <w:p w14:paraId="1EBA2171"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рамках акции очищены прибрежная территория реки Катунь, реки Майма, Катунская тропа, тропы к подножию горы Белуха, Семинский перевал и др. В рамках данной акции привлечены инвестиции субъектов туристской индустрии на очистку и развитие экологических троп и туристических маршрутов на особо охраняемых природных территориях.</w:t>
      </w:r>
    </w:p>
    <w:p w14:paraId="65A19BC7"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Рабочие места созданы БУ РА «Дирекция ООПТ РА» в соответствии с предметом деятельности учреждения по мониторинговой, природоохранной и рекреационной деятельности.</w:t>
      </w:r>
    </w:p>
    <w:p w14:paraId="03E2162F"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На реализацию мероприятия в 2024 году финансовое обеспечение не предусмотрено.</w:t>
      </w:r>
    </w:p>
    <w:p w14:paraId="1379CA57"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Предусмотрены показатели:</w:t>
      </w:r>
    </w:p>
    <w:p w14:paraId="42542719"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создание новых рабочих мест- 5 ед.;</w:t>
      </w:r>
    </w:p>
    <w:p w14:paraId="316CCC77"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привлечение дополнительных внебюджетных инвестиций – 0,5 млн руб. </w:t>
      </w:r>
    </w:p>
    <w:p w14:paraId="35ECB7AA" w14:textId="77777777" w:rsidR="001635FD" w:rsidRDefault="00000000">
      <w:pPr>
        <w:spacing w:after="0"/>
        <w:ind w:firstLine="709"/>
        <w:jc w:val="both"/>
        <w:rPr>
          <w:rFonts w:ascii="Times New Roman" w:eastAsiaTheme="minorHAnsi" w:hAnsi="Times New Roman" w:cs="Times New Roman"/>
          <w:sz w:val="28"/>
          <w:szCs w:val="28"/>
        </w:rPr>
      </w:pPr>
      <w:bookmarkStart w:id="29" w:name="_Hlk191312455"/>
      <w:r>
        <w:rPr>
          <w:rFonts w:ascii="Times New Roman" w:eastAsiaTheme="minorHAnsi" w:hAnsi="Times New Roman" w:cs="Times New Roman"/>
          <w:sz w:val="28"/>
          <w:szCs w:val="28"/>
        </w:rPr>
        <w:t>По итогам реализации мероприятия в 2024 году</w:t>
      </w:r>
      <w:bookmarkEnd w:id="29"/>
      <w:r>
        <w:rPr>
          <w:rFonts w:ascii="Times New Roman" w:eastAsiaTheme="minorHAnsi" w:hAnsi="Times New Roman" w:cs="Times New Roman"/>
          <w:sz w:val="28"/>
          <w:szCs w:val="28"/>
        </w:rPr>
        <w:t>:</w:t>
      </w:r>
    </w:p>
    <w:p w14:paraId="554EC4B5"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созданы 5 рабочих мест;</w:t>
      </w:r>
    </w:p>
    <w:p w14:paraId="49DD2653"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привлечено дополнительных внебюджетных инвестиций в сумме 0,61 млн. руб.</w:t>
      </w:r>
    </w:p>
    <w:p w14:paraId="44141E6F"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По комплексу исследовательских, проектно-изыскательских и строительно-монтажных работ по подготовке инвестиционной площадки </w:t>
      </w:r>
      <w:r>
        <w:rPr>
          <w:rFonts w:ascii="Times New Roman" w:eastAsiaTheme="minorHAnsi" w:hAnsi="Times New Roman" w:cs="Times New Roman"/>
          <w:sz w:val="28"/>
          <w:szCs w:val="28"/>
        </w:rPr>
        <w:lastRenderedPageBreak/>
        <w:t>«Жемчужина Алтая» в рамках контракта № 12-ГК/2023 от 27 декабря 2023 г. на сумму 11 436,75 тыс. рублей выполнены работы по обследованию объектов в части объемно-планировочных решений и их показатели, мощностных показателе</w:t>
      </w:r>
      <w:bookmarkStart w:id="30" w:name="_Hlk171695600"/>
      <w:r>
        <w:rPr>
          <w:rFonts w:ascii="Times New Roman" w:eastAsiaTheme="minorHAnsi" w:hAnsi="Times New Roman" w:cs="Times New Roman"/>
          <w:sz w:val="28"/>
          <w:szCs w:val="28"/>
        </w:rPr>
        <w:t>й.</w:t>
      </w:r>
      <w:r>
        <w:t xml:space="preserve"> </w:t>
      </w:r>
      <w:r>
        <w:rPr>
          <w:rFonts w:ascii="Times New Roman" w:eastAsiaTheme="minorHAnsi" w:hAnsi="Times New Roman" w:cs="Times New Roman"/>
          <w:sz w:val="28"/>
          <w:szCs w:val="28"/>
        </w:rPr>
        <w:t>В рамках соглашения работы выполнены. Заключение о техническом обследовании получено 28 ноября 2024 г.</w:t>
      </w:r>
      <w:r>
        <w:t xml:space="preserve"> </w:t>
      </w:r>
      <w:r>
        <w:rPr>
          <w:rFonts w:ascii="Times New Roman" w:eastAsiaTheme="minorHAnsi" w:hAnsi="Times New Roman" w:cs="Times New Roman"/>
          <w:sz w:val="28"/>
          <w:szCs w:val="28"/>
        </w:rPr>
        <w:t>Акт о выполнении технический условий был получен 27 декабря 2024 г., разрешение на ввод получено 17 февраля 2025 г.</w:t>
      </w:r>
    </w:p>
    <w:p w14:paraId="52E071D3"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Всего на реализацию мероприятия предусмотрено 11 436,75 тыс. рублей из них: из федерального бюджета – 11 322,38 тыс. рублей, из республиканского бюджета Республики Алтай – 114,37 тыс. рублей. </w:t>
      </w:r>
      <w:bookmarkEnd w:id="30"/>
      <w:r>
        <w:rPr>
          <w:rFonts w:ascii="Times New Roman" w:eastAsiaTheme="minorHAnsi" w:hAnsi="Times New Roman" w:cs="Times New Roman"/>
          <w:sz w:val="28"/>
          <w:szCs w:val="28"/>
        </w:rPr>
        <w:t>Кассовое исполнение по состоянию на 1 января 2025 года составляет 100%.</w:t>
      </w:r>
    </w:p>
    <w:p w14:paraId="077B7BE8"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Предусмотрены следующие показатели:</w:t>
      </w:r>
    </w:p>
    <w:p w14:paraId="274D1500"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 заключение о </w:t>
      </w:r>
      <w:bookmarkStart w:id="31" w:name="_Hlk191312496"/>
      <w:r>
        <w:rPr>
          <w:rFonts w:ascii="Times New Roman" w:eastAsiaTheme="minorHAnsi" w:hAnsi="Times New Roman" w:cs="Times New Roman"/>
          <w:sz w:val="28"/>
          <w:szCs w:val="28"/>
        </w:rPr>
        <w:t xml:space="preserve">техническом состоянии инженерной инфраструктуры </w:t>
      </w:r>
      <w:bookmarkEnd w:id="31"/>
      <w:r>
        <w:rPr>
          <w:rFonts w:ascii="Times New Roman" w:eastAsiaTheme="minorHAnsi" w:hAnsi="Times New Roman" w:cs="Times New Roman"/>
          <w:sz w:val="28"/>
          <w:szCs w:val="28"/>
        </w:rPr>
        <w:t xml:space="preserve">– 1 ед.; </w:t>
      </w:r>
    </w:p>
    <w:p w14:paraId="532B70CC"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ввод объектов электроснабжения – 32 мегавольт-ампер.</w:t>
      </w:r>
    </w:p>
    <w:p w14:paraId="44932D1B"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По итогам реализации мероприятия в 2024 году: </w:t>
      </w:r>
    </w:p>
    <w:p w14:paraId="5D364D55"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получено 1 заключение о</w:t>
      </w:r>
      <w:r>
        <w:t xml:space="preserve"> </w:t>
      </w:r>
      <w:r>
        <w:rPr>
          <w:rFonts w:ascii="Times New Roman" w:eastAsiaTheme="minorHAnsi" w:hAnsi="Times New Roman" w:cs="Times New Roman"/>
          <w:sz w:val="28"/>
          <w:szCs w:val="28"/>
        </w:rPr>
        <w:t>техническом состоянии инженерной инфраструктуры;</w:t>
      </w:r>
    </w:p>
    <w:p w14:paraId="07419EA2"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объекты электроснабжения мощностью 32 мегавольт-ампер введены в эксплуатацию.</w:t>
      </w:r>
    </w:p>
    <w:p w14:paraId="7B6F5DC7" w14:textId="77777777" w:rsidR="001635FD" w:rsidRDefault="00000000">
      <w:pPr>
        <w:spacing w:after="0"/>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 ходе реализации в проект внесены 5 изменений связанных с </w:t>
      </w:r>
      <w:bookmarkStart w:id="32" w:name="_Hlk172562143"/>
      <w:r>
        <w:rPr>
          <w:rFonts w:ascii="Times New Roman" w:eastAsiaTheme="minorHAnsi" w:hAnsi="Times New Roman" w:cs="Times New Roman"/>
          <w:sz w:val="28"/>
          <w:szCs w:val="28"/>
        </w:rPr>
        <w:t>перераспределением бюджетных ассигнований и приведением в соответствие к Закону Республики Алтай от 1 апреля 2024 г. № 1-РЗ «</w:t>
      </w:r>
      <w:r>
        <w:rPr>
          <w:rFonts w:ascii="Times New Roman" w:hAnsi="Times New Roman" w:cs="Times New Roman"/>
          <w:sz w:val="28"/>
          <w:szCs w:val="28"/>
        </w:rPr>
        <w:t>О внесении изменений в Закон Республики Алтай «О республиканском бюджете Республики Алтай на 2024 год и на плановый период 2025 и 2026 годов</w:t>
      </w:r>
      <w:r>
        <w:rPr>
          <w:rFonts w:ascii="Times New Roman" w:eastAsiaTheme="minorHAnsi" w:hAnsi="Times New Roman" w:cs="Times New Roman"/>
          <w:sz w:val="28"/>
          <w:szCs w:val="28"/>
        </w:rPr>
        <w:t xml:space="preserve">» </w:t>
      </w:r>
      <w:bookmarkEnd w:id="32"/>
      <w:r>
        <w:rPr>
          <w:rFonts w:ascii="Times New Roman" w:eastAsiaTheme="minorHAnsi" w:hAnsi="Times New Roman" w:cs="Times New Roman"/>
          <w:sz w:val="28"/>
          <w:szCs w:val="28"/>
        </w:rPr>
        <w:t>и актуализацией состава команды проекта, .</w:t>
      </w:r>
      <w:r>
        <w:t xml:space="preserve"> </w:t>
      </w:r>
      <w:r>
        <w:rPr>
          <w:rFonts w:ascii="Times New Roman" w:eastAsiaTheme="minorHAnsi" w:hAnsi="Times New Roman" w:cs="Times New Roman"/>
          <w:sz w:val="28"/>
          <w:szCs w:val="28"/>
        </w:rPr>
        <w:t>пересмотром сроков объявления конкурсного отбора в связи с отменой первого конкурного отбора.</w:t>
      </w:r>
    </w:p>
    <w:p w14:paraId="7A6D8C95"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Всего на реализацию мероприятия предусмотрено 165 814,53 тыс. рублей </w:t>
      </w:r>
      <w:bookmarkStart w:id="33" w:name="_Hlk171695672"/>
      <w:r>
        <w:rPr>
          <w:rFonts w:ascii="Times New Roman" w:eastAsiaTheme="minorHAnsi" w:hAnsi="Times New Roman" w:cs="Times New Roman"/>
          <w:sz w:val="28"/>
          <w:szCs w:val="28"/>
        </w:rPr>
        <w:t xml:space="preserve">из них: из федерального бюджета – 164 156,38 тыс. рублей, из республиканского бюджета Республики Алтай – 1 658,15 тыс. рублей. </w:t>
      </w:r>
      <w:bookmarkStart w:id="34" w:name="_Hlk191312302"/>
      <w:bookmarkStart w:id="35" w:name="_Hlk190955104"/>
      <w:bookmarkEnd w:id="33"/>
      <w:r>
        <w:rPr>
          <w:rFonts w:ascii="Times New Roman" w:eastAsiaTheme="minorHAnsi" w:hAnsi="Times New Roman" w:cs="Times New Roman"/>
          <w:sz w:val="28"/>
          <w:szCs w:val="28"/>
        </w:rPr>
        <w:t>Кассовое исполнение по состоянию на 1 января 2025 года составляет 100%.</w:t>
      </w:r>
      <w:bookmarkEnd w:id="34"/>
      <w:bookmarkEnd w:id="35"/>
    </w:p>
    <w:p w14:paraId="57B7228B" w14:textId="77777777" w:rsidR="001635FD" w:rsidRDefault="00000000">
      <w:pPr>
        <w:spacing w:after="0"/>
        <w:ind w:firstLine="54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 рамках комплекса процессных мероприятий «Создание условий для реализации государственной программы Республики Алтай «Развитие внутреннего и въездного туризма» в 2024 году обеспечена деятельность Министерства туризма Республики Алтай, своевременно начислена и выплачена заработная плата, осуществлены иные платежи.</w:t>
      </w:r>
    </w:p>
    <w:p w14:paraId="27B5166C" w14:textId="77777777" w:rsidR="001635FD" w:rsidRDefault="00000000">
      <w:pPr>
        <w:spacing w:after="0"/>
        <w:ind w:firstLine="540"/>
        <w:jc w:val="both"/>
        <w:rPr>
          <w:rFonts w:ascii="Times New Roman" w:eastAsiaTheme="minorHAnsi" w:hAnsi="Times New Roman" w:cs="Times New Roman"/>
          <w:sz w:val="28"/>
          <w:szCs w:val="28"/>
        </w:rPr>
      </w:pPr>
      <w:bookmarkStart w:id="36" w:name="_Hlk171686146"/>
      <w:r>
        <w:rPr>
          <w:rFonts w:ascii="Times New Roman" w:hAnsi="Times New Roman" w:cs="Times New Roman"/>
          <w:sz w:val="28"/>
          <w:szCs w:val="28"/>
        </w:rPr>
        <w:t xml:space="preserve">В ходе реализации были внесены 2 изменения в проект, связанные с перераспределением бюджетных ассигнований и приведением в соответствие к Закону Республики Алтай от 1 апреля 2024 г. № 1-РЗ «О внесении изменений </w:t>
      </w:r>
      <w:r>
        <w:rPr>
          <w:rFonts w:ascii="Times New Roman" w:hAnsi="Times New Roman" w:cs="Times New Roman"/>
          <w:sz w:val="28"/>
          <w:szCs w:val="28"/>
        </w:rPr>
        <w:lastRenderedPageBreak/>
        <w:t>в Закон Республики Алтай «О республиканском бюджете Республики Алтай на 2024 год и на плановый период 2025 и 2026 годов», а также актуализацией команды проекта.</w:t>
      </w:r>
    </w:p>
    <w:p w14:paraId="692A0499" w14:textId="77777777" w:rsidR="001635FD" w:rsidRDefault="00000000">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реализацию проекта всего из республиканского бюджета выделено 18 181,72 тыс. руб.</w:t>
      </w:r>
      <w:r>
        <w:t xml:space="preserve"> </w:t>
      </w:r>
      <w:r>
        <w:rPr>
          <w:rFonts w:ascii="Times New Roman" w:hAnsi="Times New Roman" w:cs="Times New Roman"/>
          <w:sz w:val="28"/>
          <w:szCs w:val="28"/>
        </w:rPr>
        <w:t>Кассовое исполнение по состоянию на 1 января 2025 года составляет 100%.</w:t>
      </w:r>
      <w:bookmarkEnd w:id="36"/>
    </w:p>
    <w:p w14:paraId="0BFF59D8" w14:textId="77777777" w:rsidR="001635FD" w:rsidRDefault="00000000">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комплекса процессных мероприятий «Позиционирование Республики Алтай как благоприятного региона на внутреннем и мировом туристских рынках» в первом полугодии 2024 года обеспечена деятельность учреждения АУ РА «Региональный центр туризма и гостеприимства», подведомственного Министерству туризма Республики Алтай, своевременно начислена и выплачена заработная плата, осуществлены иные платежи. </w:t>
      </w:r>
    </w:p>
    <w:p w14:paraId="5E267B66" w14:textId="77777777" w:rsidR="001635FD" w:rsidRDefault="00000000">
      <w:pPr>
        <w:spacing w:after="0"/>
        <w:ind w:firstLine="709"/>
        <w:jc w:val="both"/>
        <w:rPr>
          <w:rFonts w:ascii="Times New Roman" w:hAnsi="Times New Roman" w:cs="Times New Roman"/>
          <w:sz w:val="28"/>
          <w:szCs w:val="28"/>
        </w:rPr>
      </w:pPr>
      <w:r>
        <w:rPr>
          <w:rFonts w:ascii="Times New Roman" w:hAnsi="Times New Roman" w:cs="Times New Roman"/>
          <w:sz w:val="28"/>
          <w:szCs w:val="28"/>
        </w:rPr>
        <w:t>В ходе реализации было внесено 1 изменение в проект, связанное с перераспределением бюджетных ассигнований и приведением в соответствие к Закону Республики Алтай от 1 апреля 2024 г. № 1-РЗ «О внесении изменений в Закон Республики Алтай «О республиканском бюджете Республики Алтай на 2024 год и на плановый период 2025 и 2026 годов».</w:t>
      </w:r>
    </w:p>
    <w:p w14:paraId="0558E049" w14:textId="77777777" w:rsidR="001635FD" w:rsidRDefault="00000000">
      <w:pPr>
        <w:spacing w:after="0"/>
        <w:ind w:firstLine="709"/>
        <w:jc w:val="both"/>
        <w:rPr>
          <w:rFonts w:ascii="Times New Roman" w:hAnsi="Times New Roman" w:cs="Times New Roman"/>
          <w:sz w:val="28"/>
          <w:szCs w:val="28"/>
        </w:rPr>
      </w:pPr>
      <w:r>
        <w:rPr>
          <w:rFonts w:ascii="Times New Roman" w:hAnsi="Times New Roman" w:cs="Times New Roman"/>
          <w:sz w:val="28"/>
          <w:szCs w:val="28"/>
        </w:rPr>
        <w:t>На реализацию проекта всего из республиканского бюджета выделено 8 512,33 тыс. руб., Кассовое исполнение по состоянию на 1 января 2025 года составляет 100%.</w:t>
      </w:r>
    </w:p>
    <w:p w14:paraId="3DA0F708" w14:textId="77777777" w:rsidR="001635FD" w:rsidRDefault="001635FD">
      <w:pPr>
        <w:spacing w:after="0"/>
        <w:jc w:val="both"/>
        <w:rPr>
          <w:rFonts w:ascii="Times New Roman" w:hAnsi="Times New Roman" w:cs="Times New Roman"/>
          <w:sz w:val="28"/>
          <w:szCs w:val="28"/>
        </w:rPr>
      </w:pPr>
    </w:p>
    <w:p w14:paraId="6331D5AE" w14:textId="77777777" w:rsidR="001635FD" w:rsidRDefault="001635FD">
      <w:pPr>
        <w:spacing w:after="0"/>
        <w:jc w:val="both"/>
        <w:rPr>
          <w:rFonts w:ascii="Times New Roman" w:hAnsi="Times New Roman" w:cs="Times New Roman"/>
          <w:sz w:val="28"/>
          <w:szCs w:val="28"/>
        </w:rPr>
      </w:pPr>
    </w:p>
    <w:p w14:paraId="09DF6402" w14:textId="77777777" w:rsidR="001635FD" w:rsidRDefault="001635FD">
      <w:pPr>
        <w:spacing w:after="0"/>
        <w:jc w:val="both"/>
        <w:rPr>
          <w:rFonts w:ascii="Times New Roman" w:hAnsi="Times New Roman" w:cs="Times New Roman"/>
          <w:sz w:val="28"/>
          <w:szCs w:val="28"/>
        </w:rPr>
      </w:pPr>
    </w:p>
    <w:p w14:paraId="5A0C5480" w14:textId="77777777" w:rsidR="001635FD" w:rsidRDefault="00000000">
      <w:pPr>
        <w:spacing w:after="0"/>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w:t>
      </w:r>
    </w:p>
    <w:p w14:paraId="2612A00C" w14:textId="77777777" w:rsidR="001635FD" w:rsidRDefault="00000000">
      <w:pPr>
        <w:spacing w:after="0"/>
        <w:jc w:val="both"/>
        <w:rPr>
          <w:rFonts w:ascii="Times New Roman" w:hAnsi="Times New Roman" w:cs="Times New Roman"/>
          <w:sz w:val="28"/>
          <w:szCs w:val="28"/>
        </w:rPr>
      </w:pPr>
      <w:r>
        <w:rPr>
          <w:rFonts w:ascii="Times New Roman" w:hAnsi="Times New Roman" w:cs="Times New Roman"/>
          <w:sz w:val="28"/>
          <w:szCs w:val="28"/>
        </w:rPr>
        <w:t>по развитию туризма                                                                              С.Н. Кулакова</w:t>
      </w:r>
    </w:p>
    <w:sectPr w:rsidR="001635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3A15D" w14:textId="77777777" w:rsidR="00FE55FB" w:rsidRDefault="00FE55FB">
      <w:pPr>
        <w:spacing w:after="0" w:line="240" w:lineRule="auto"/>
      </w:pPr>
      <w:r>
        <w:separator/>
      </w:r>
    </w:p>
  </w:endnote>
  <w:endnote w:type="continuationSeparator" w:id="0">
    <w:p w14:paraId="3E48CCFE" w14:textId="77777777" w:rsidR="00FE55FB" w:rsidRDefault="00FE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47393" w14:textId="77777777" w:rsidR="00FE55FB" w:rsidRDefault="00FE55FB">
      <w:pPr>
        <w:spacing w:after="0" w:line="240" w:lineRule="auto"/>
      </w:pPr>
      <w:r>
        <w:separator/>
      </w:r>
    </w:p>
  </w:footnote>
  <w:footnote w:type="continuationSeparator" w:id="0">
    <w:p w14:paraId="7D5C4664" w14:textId="77777777" w:rsidR="00FE55FB" w:rsidRDefault="00FE5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14755"/>
    <w:multiLevelType w:val="hybridMultilevel"/>
    <w:tmpl w:val="9C3C2534"/>
    <w:lvl w:ilvl="0" w:tplc="8AE4BC54">
      <w:start w:val="4"/>
      <w:numFmt w:val="decimal"/>
      <w:lvlText w:val="%1."/>
      <w:lvlJc w:val="left"/>
      <w:pPr>
        <w:ind w:left="900" w:hanging="360"/>
      </w:pPr>
      <w:rPr>
        <w:rFonts w:hint="default"/>
      </w:rPr>
    </w:lvl>
    <w:lvl w:ilvl="1" w:tplc="74A20CC2">
      <w:start w:val="1"/>
      <w:numFmt w:val="lowerLetter"/>
      <w:lvlText w:val="%2."/>
      <w:lvlJc w:val="left"/>
      <w:pPr>
        <w:ind w:left="1620" w:hanging="360"/>
      </w:pPr>
    </w:lvl>
    <w:lvl w:ilvl="2" w:tplc="E12AC3E0">
      <w:start w:val="1"/>
      <w:numFmt w:val="lowerRoman"/>
      <w:lvlText w:val="%3."/>
      <w:lvlJc w:val="right"/>
      <w:pPr>
        <w:ind w:left="2340" w:hanging="180"/>
      </w:pPr>
    </w:lvl>
    <w:lvl w:ilvl="3" w:tplc="1C56808E">
      <w:start w:val="1"/>
      <w:numFmt w:val="decimal"/>
      <w:lvlText w:val="%4."/>
      <w:lvlJc w:val="left"/>
      <w:pPr>
        <w:ind w:left="3060" w:hanging="360"/>
      </w:pPr>
    </w:lvl>
    <w:lvl w:ilvl="4" w:tplc="5D4C8A7C">
      <w:start w:val="1"/>
      <w:numFmt w:val="lowerLetter"/>
      <w:lvlText w:val="%5."/>
      <w:lvlJc w:val="left"/>
      <w:pPr>
        <w:ind w:left="3780" w:hanging="360"/>
      </w:pPr>
    </w:lvl>
    <w:lvl w:ilvl="5" w:tplc="5F40A6F4">
      <w:start w:val="1"/>
      <w:numFmt w:val="lowerRoman"/>
      <w:lvlText w:val="%6."/>
      <w:lvlJc w:val="right"/>
      <w:pPr>
        <w:ind w:left="4500" w:hanging="180"/>
      </w:pPr>
    </w:lvl>
    <w:lvl w:ilvl="6" w:tplc="4E847CB8">
      <w:start w:val="1"/>
      <w:numFmt w:val="decimal"/>
      <w:lvlText w:val="%7."/>
      <w:lvlJc w:val="left"/>
      <w:pPr>
        <w:ind w:left="5220" w:hanging="360"/>
      </w:pPr>
    </w:lvl>
    <w:lvl w:ilvl="7" w:tplc="1ECCE958">
      <w:start w:val="1"/>
      <w:numFmt w:val="lowerLetter"/>
      <w:lvlText w:val="%8."/>
      <w:lvlJc w:val="left"/>
      <w:pPr>
        <w:ind w:left="5940" w:hanging="360"/>
      </w:pPr>
    </w:lvl>
    <w:lvl w:ilvl="8" w:tplc="670A62BC">
      <w:start w:val="1"/>
      <w:numFmt w:val="lowerRoman"/>
      <w:lvlText w:val="%9."/>
      <w:lvlJc w:val="right"/>
      <w:pPr>
        <w:ind w:left="6660" w:hanging="180"/>
      </w:pPr>
    </w:lvl>
  </w:abstractNum>
  <w:abstractNum w:abstractNumId="1" w15:restartNumberingAfterBreak="0">
    <w:nsid w:val="48576D84"/>
    <w:multiLevelType w:val="hybridMultilevel"/>
    <w:tmpl w:val="7638D494"/>
    <w:lvl w:ilvl="0" w:tplc="C4CE8ADC">
      <w:start w:val="1"/>
      <w:numFmt w:val="decimal"/>
      <w:lvlText w:val="%1)"/>
      <w:lvlJc w:val="left"/>
      <w:pPr>
        <w:ind w:left="900" w:hanging="360"/>
      </w:pPr>
      <w:rPr>
        <w:rFonts w:hint="default"/>
      </w:rPr>
    </w:lvl>
    <w:lvl w:ilvl="1" w:tplc="B4DE36A6">
      <w:start w:val="1"/>
      <w:numFmt w:val="lowerLetter"/>
      <w:lvlText w:val="%2."/>
      <w:lvlJc w:val="left"/>
      <w:pPr>
        <w:ind w:left="1620" w:hanging="360"/>
      </w:pPr>
    </w:lvl>
    <w:lvl w:ilvl="2" w:tplc="F69A1750">
      <w:start w:val="1"/>
      <w:numFmt w:val="lowerRoman"/>
      <w:lvlText w:val="%3."/>
      <w:lvlJc w:val="right"/>
      <w:pPr>
        <w:ind w:left="2340" w:hanging="180"/>
      </w:pPr>
    </w:lvl>
    <w:lvl w:ilvl="3" w:tplc="D166F082">
      <w:start w:val="1"/>
      <w:numFmt w:val="decimal"/>
      <w:lvlText w:val="%4."/>
      <w:lvlJc w:val="left"/>
      <w:pPr>
        <w:ind w:left="3060" w:hanging="360"/>
      </w:pPr>
    </w:lvl>
    <w:lvl w:ilvl="4" w:tplc="52166810">
      <w:start w:val="1"/>
      <w:numFmt w:val="lowerLetter"/>
      <w:lvlText w:val="%5."/>
      <w:lvlJc w:val="left"/>
      <w:pPr>
        <w:ind w:left="3780" w:hanging="360"/>
      </w:pPr>
    </w:lvl>
    <w:lvl w:ilvl="5" w:tplc="BF780700">
      <w:start w:val="1"/>
      <w:numFmt w:val="lowerRoman"/>
      <w:lvlText w:val="%6."/>
      <w:lvlJc w:val="right"/>
      <w:pPr>
        <w:ind w:left="4500" w:hanging="180"/>
      </w:pPr>
    </w:lvl>
    <w:lvl w:ilvl="6" w:tplc="F8E617C0">
      <w:start w:val="1"/>
      <w:numFmt w:val="decimal"/>
      <w:lvlText w:val="%7."/>
      <w:lvlJc w:val="left"/>
      <w:pPr>
        <w:ind w:left="5220" w:hanging="360"/>
      </w:pPr>
    </w:lvl>
    <w:lvl w:ilvl="7" w:tplc="A9E437F4">
      <w:start w:val="1"/>
      <w:numFmt w:val="lowerLetter"/>
      <w:lvlText w:val="%8."/>
      <w:lvlJc w:val="left"/>
      <w:pPr>
        <w:ind w:left="5940" w:hanging="360"/>
      </w:pPr>
    </w:lvl>
    <w:lvl w:ilvl="8" w:tplc="E3C484CE">
      <w:start w:val="1"/>
      <w:numFmt w:val="lowerRoman"/>
      <w:lvlText w:val="%9."/>
      <w:lvlJc w:val="right"/>
      <w:pPr>
        <w:ind w:left="6660" w:hanging="180"/>
      </w:pPr>
    </w:lvl>
  </w:abstractNum>
  <w:abstractNum w:abstractNumId="2" w15:restartNumberingAfterBreak="0">
    <w:nsid w:val="500055EF"/>
    <w:multiLevelType w:val="hybridMultilevel"/>
    <w:tmpl w:val="080E696C"/>
    <w:lvl w:ilvl="0" w:tplc="EC842D76">
      <w:start w:val="1"/>
      <w:numFmt w:val="decimal"/>
      <w:lvlText w:val="%1)"/>
      <w:lvlJc w:val="left"/>
      <w:pPr>
        <w:ind w:left="899" w:hanging="360"/>
      </w:pPr>
      <w:rPr>
        <w:rFonts w:hint="default"/>
      </w:rPr>
    </w:lvl>
    <w:lvl w:ilvl="1" w:tplc="55A4DEAC">
      <w:start w:val="1"/>
      <w:numFmt w:val="lowerLetter"/>
      <w:lvlText w:val="%2."/>
      <w:lvlJc w:val="left"/>
      <w:pPr>
        <w:ind w:left="1619" w:hanging="360"/>
      </w:pPr>
    </w:lvl>
    <w:lvl w:ilvl="2" w:tplc="FCE8E2FC">
      <w:start w:val="1"/>
      <w:numFmt w:val="lowerRoman"/>
      <w:lvlText w:val="%3."/>
      <w:lvlJc w:val="right"/>
      <w:pPr>
        <w:ind w:left="2339" w:hanging="180"/>
      </w:pPr>
    </w:lvl>
    <w:lvl w:ilvl="3" w:tplc="8A685E96">
      <w:start w:val="1"/>
      <w:numFmt w:val="decimal"/>
      <w:lvlText w:val="%4."/>
      <w:lvlJc w:val="left"/>
      <w:pPr>
        <w:ind w:left="3059" w:hanging="360"/>
      </w:pPr>
    </w:lvl>
    <w:lvl w:ilvl="4" w:tplc="FAE00024">
      <w:start w:val="1"/>
      <w:numFmt w:val="lowerLetter"/>
      <w:lvlText w:val="%5."/>
      <w:lvlJc w:val="left"/>
      <w:pPr>
        <w:ind w:left="3779" w:hanging="360"/>
      </w:pPr>
    </w:lvl>
    <w:lvl w:ilvl="5" w:tplc="A7260900">
      <w:start w:val="1"/>
      <w:numFmt w:val="lowerRoman"/>
      <w:lvlText w:val="%6."/>
      <w:lvlJc w:val="right"/>
      <w:pPr>
        <w:ind w:left="4499" w:hanging="180"/>
      </w:pPr>
    </w:lvl>
    <w:lvl w:ilvl="6" w:tplc="B3369882">
      <w:start w:val="1"/>
      <w:numFmt w:val="decimal"/>
      <w:lvlText w:val="%7."/>
      <w:lvlJc w:val="left"/>
      <w:pPr>
        <w:ind w:left="5219" w:hanging="360"/>
      </w:pPr>
    </w:lvl>
    <w:lvl w:ilvl="7" w:tplc="353CC6E4">
      <w:start w:val="1"/>
      <w:numFmt w:val="lowerLetter"/>
      <w:lvlText w:val="%8."/>
      <w:lvlJc w:val="left"/>
      <w:pPr>
        <w:ind w:left="5939" w:hanging="360"/>
      </w:pPr>
    </w:lvl>
    <w:lvl w:ilvl="8" w:tplc="D5026278">
      <w:start w:val="1"/>
      <w:numFmt w:val="lowerRoman"/>
      <w:lvlText w:val="%9."/>
      <w:lvlJc w:val="right"/>
      <w:pPr>
        <w:ind w:left="6659" w:hanging="180"/>
      </w:pPr>
    </w:lvl>
  </w:abstractNum>
  <w:abstractNum w:abstractNumId="3" w15:restartNumberingAfterBreak="0">
    <w:nsid w:val="68B52D4D"/>
    <w:multiLevelType w:val="hybridMultilevel"/>
    <w:tmpl w:val="4FD65124"/>
    <w:lvl w:ilvl="0" w:tplc="2E4A35B6">
      <w:start w:val="1"/>
      <w:numFmt w:val="decimal"/>
      <w:lvlText w:val="%1."/>
      <w:lvlJc w:val="left"/>
      <w:pPr>
        <w:ind w:left="1211" w:hanging="360"/>
      </w:pPr>
      <w:rPr>
        <w:rFonts w:hint="default"/>
      </w:rPr>
    </w:lvl>
    <w:lvl w:ilvl="1" w:tplc="057470F0">
      <w:start w:val="1"/>
      <w:numFmt w:val="lowerLetter"/>
      <w:lvlText w:val="%2."/>
      <w:lvlJc w:val="left"/>
      <w:pPr>
        <w:ind w:left="1620" w:hanging="360"/>
      </w:pPr>
    </w:lvl>
    <w:lvl w:ilvl="2" w:tplc="0492A7D0">
      <w:start w:val="1"/>
      <w:numFmt w:val="lowerRoman"/>
      <w:lvlText w:val="%3."/>
      <w:lvlJc w:val="right"/>
      <w:pPr>
        <w:ind w:left="2340" w:hanging="180"/>
      </w:pPr>
    </w:lvl>
    <w:lvl w:ilvl="3" w:tplc="6338AF34">
      <w:start w:val="1"/>
      <w:numFmt w:val="decimal"/>
      <w:lvlText w:val="%4."/>
      <w:lvlJc w:val="left"/>
      <w:pPr>
        <w:ind w:left="3060" w:hanging="360"/>
      </w:pPr>
    </w:lvl>
    <w:lvl w:ilvl="4" w:tplc="DF4271BC">
      <w:start w:val="1"/>
      <w:numFmt w:val="lowerLetter"/>
      <w:lvlText w:val="%5."/>
      <w:lvlJc w:val="left"/>
      <w:pPr>
        <w:ind w:left="3780" w:hanging="360"/>
      </w:pPr>
    </w:lvl>
    <w:lvl w:ilvl="5" w:tplc="9D02D4D8">
      <w:start w:val="1"/>
      <w:numFmt w:val="lowerRoman"/>
      <w:lvlText w:val="%6."/>
      <w:lvlJc w:val="right"/>
      <w:pPr>
        <w:ind w:left="4500" w:hanging="180"/>
      </w:pPr>
    </w:lvl>
    <w:lvl w:ilvl="6" w:tplc="00E0ED00">
      <w:start w:val="1"/>
      <w:numFmt w:val="decimal"/>
      <w:lvlText w:val="%7."/>
      <w:lvlJc w:val="left"/>
      <w:pPr>
        <w:ind w:left="5220" w:hanging="360"/>
      </w:pPr>
    </w:lvl>
    <w:lvl w:ilvl="7" w:tplc="C292EC06">
      <w:start w:val="1"/>
      <w:numFmt w:val="lowerLetter"/>
      <w:lvlText w:val="%8."/>
      <w:lvlJc w:val="left"/>
      <w:pPr>
        <w:ind w:left="5940" w:hanging="360"/>
      </w:pPr>
    </w:lvl>
    <w:lvl w:ilvl="8" w:tplc="57165726">
      <w:start w:val="1"/>
      <w:numFmt w:val="lowerRoman"/>
      <w:lvlText w:val="%9."/>
      <w:lvlJc w:val="right"/>
      <w:pPr>
        <w:ind w:left="6660" w:hanging="180"/>
      </w:pPr>
    </w:lvl>
  </w:abstractNum>
  <w:num w:numId="1" w16cid:durableId="775487779">
    <w:abstractNumId w:val="1"/>
  </w:num>
  <w:num w:numId="2" w16cid:durableId="647827631">
    <w:abstractNumId w:val="2"/>
  </w:num>
  <w:num w:numId="3" w16cid:durableId="121312325">
    <w:abstractNumId w:val="3"/>
  </w:num>
  <w:num w:numId="4" w16cid:durableId="69187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5FD"/>
    <w:rsid w:val="001635FD"/>
    <w:rsid w:val="0029499D"/>
    <w:rsid w:val="003A7DF2"/>
    <w:rsid w:val="00606475"/>
    <w:rsid w:val="00E457CD"/>
    <w:rsid w:val="00FE5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D8EF"/>
  <w15:docId w15:val="{7AA0DEF7-24AE-4FA3-B05C-7C0D8812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Times New Roman" w:hAnsi="Calibri" w:cs="Calibri"/>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ad">
    <w:name w:val="Нижний колонтитул Знак"/>
    <w:basedOn w:val="a0"/>
    <w:link w:val="ac"/>
    <w:uiPriority w:val="99"/>
  </w:style>
  <w:style w:type="paragraph" w:styleId="ae">
    <w:name w:val="caption"/>
    <w:basedOn w:val="a"/>
    <w:next w:val="a"/>
    <w:link w:val="af"/>
    <w:uiPriority w:val="35"/>
    <w:semiHidden/>
    <w:unhideWhenUsed/>
    <w:qFormat/>
    <w:rPr>
      <w:b/>
      <w:bCs/>
      <w:color w:val="5B9BD5" w:themeColor="accent1"/>
      <w:sz w:val="18"/>
      <w:szCs w:val="18"/>
    </w:rPr>
  </w:style>
  <w:style w:type="character" w:customStyle="1" w:styleId="af">
    <w:name w:val="Название объекта Знак"/>
    <w:basedOn w:val="a0"/>
    <w:link w:val="ae"/>
    <w:uiPriority w:val="35"/>
    <w:rPr>
      <w:b/>
      <w:bCs/>
      <w:color w:val="5B9BD5" w:themeColor="accent1"/>
      <w:sz w:val="18"/>
      <w:szCs w:val="1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customStyle="1" w:styleId="20">
    <w:name w:val="Заголовок 2 Знак"/>
    <w:basedOn w:val="a0"/>
    <w:link w:val="2"/>
    <w:uiPriority w:val="9"/>
    <w:rPr>
      <w:rFonts w:asciiTheme="majorHAnsi" w:eastAsiaTheme="majorEastAsia" w:hAnsiTheme="majorHAnsi" w:cstheme="majorBidi"/>
      <w:b/>
      <w:bCs/>
      <w:color w:val="5B9BD5" w:themeColor="accent1"/>
      <w:sz w:val="26"/>
      <w:szCs w:val="26"/>
    </w:rPr>
  </w:style>
  <w:style w:type="paragraph" w:styleId="afa">
    <w:name w:val="Normal (Web)"/>
    <w:basedOn w:val="a"/>
    <w:uiPriority w:val="99"/>
    <w:unhideWhenUsed/>
    <w:pPr>
      <w:spacing w:before="100" w:beforeAutospacing="1" w:after="100" w:afterAutospacing="1" w:line="240" w:lineRule="auto"/>
    </w:pPr>
    <w:rPr>
      <w:rFonts w:ascii="Times New Roman" w:hAnsi="Times New Roman" w:cs="Times New Roman"/>
      <w:sz w:val="24"/>
      <w:szCs w:val="24"/>
      <w:lang w:eastAsia="ru-RU"/>
    </w:rPr>
  </w:style>
  <w:style w:type="paragraph" w:styleId="afb">
    <w:name w:val="Balloon Text"/>
    <w:basedOn w:val="a"/>
    <w:link w:val="afc"/>
    <w:uiPriority w:val="99"/>
    <w:semiHidden/>
    <w:unhideWhenUsed/>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Pr>
      <w:rFonts w:ascii="Segoe UI" w:eastAsia="Times New Roman" w:hAnsi="Segoe UI" w:cs="Segoe UI"/>
      <w:sz w:val="18"/>
      <w:szCs w:val="18"/>
    </w:rPr>
  </w:style>
  <w:style w:type="paragraph" w:styleId="afd">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3287</Words>
  <Characters>18738</Characters>
  <Application>Microsoft Office Word</Application>
  <DocSecurity>0</DocSecurity>
  <Lines>156</Lines>
  <Paragraphs>43</Paragraphs>
  <ScaleCrop>false</ScaleCrop>
  <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Минэкономразвития РА</dc:creator>
  <cp:keywords/>
  <cp:lastModifiedBy>User</cp:lastModifiedBy>
  <cp:revision>3</cp:revision>
  <dcterms:created xsi:type="dcterms:W3CDTF">2025-05-19T10:31:00Z</dcterms:created>
  <dcterms:modified xsi:type="dcterms:W3CDTF">2025-05-19T10:34:00Z</dcterms:modified>
</cp:coreProperties>
</file>