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03.10.2020 N 1599</w:t>
              <w:br/>
              <w:t xml:space="preserve">(ред. от 27.10.2025)</w:t>
              <w:br/>
              <w:t xml:space="preserve">"О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br/>
              <w:t xml:space="preserve">(вместе с "Правилами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"Общими требованиями к нормативным правовым актам, регулирующим предоставление субсидий из бюджетов субъектов Российской Федерации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октября 2020 г. N 1599</w:t>
      </w:r>
    </w:p>
    <w:p>
      <w:pPr>
        <w:pStyle w:val="2"/>
        <w:jc w:val="center"/>
      </w:pPr>
      <w:r>
        <w:rPr>
          <w:sz w:val="24"/>
        </w:rPr>
      </w:r>
    </w:p>
    <w:p>
      <w:pPr>
        <w:pStyle w:val="2"/>
        <w:jc w:val="center"/>
      </w:pPr>
      <w:r>
        <w:rPr>
          <w:sz w:val="24"/>
        </w:rPr>
        <w:t xml:space="preserve">О ПОРЯДКЕ</w:t>
      </w:r>
    </w:p>
    <w:p>
      <w:pPr>
        <w:pStyle w:val="2"/>
        <w:jc w:val="center"/>
      </w:pPr>
      <w:r>
        <w:rPr>
          <w:sz w:val="24"/>
        </w:rPr>
        <w:t xml:space="preserve">ВОЗМЕЩЕНИЯ ЗАТРАТ, УКАЗАННЫХ В ЧАСТИ 1 СТАТЬИ 15</w:t>
      </w:r>
    </w:p>
    <w:p>
      <w:pPr>
        <w:pStyle w:val="2"/>
        <w:jc w:val="center"/>
      </w:pPr>
      <w:r>
        <w:rPr>
          <w:sz w:val="24"/>
        </w:rPr>
        <w:t xml:space="preserve">ФЕДЕРАЛЬНОГО ЗАКОНА "О ЗАЩИТЕ И ПООЩРЕНИИ КАПИТАЛОВЛОЖЕНИЙ</w:t>
      </w:r>
    </w:p>
    <w:p>
      <w:pPr>
        <w:pStyle w:val="2"/>
        <w:jc w:val="center"/>
      </w:pPr>
      <w:r>
        <w:rPr>
          <w:sz w:val="24"/>
        </w:rPr>
        <w:t xml:space="preserve">В РОССИЙСКОЙ ФЕДЕРАЦИИ", ПОНЕСЕННЫХ ОРГАНИЗАЦИЕЙ,</w:t>
      </w:r>
    </w:p>
    <w:p>
      <w:pPr>
        <w:pStyle w:val="2"/>
        <w:jc w:val="center"/>
      </w:pPr>
      <w:r>
        <w:rPr>
          <w:sz w:val="24"/>
        </w:rPr>
        <w:t xml:space="preserve">РЕАЛИЗУЮЩЕЙ ПРОЕКТ, В РАМКАХ ОСУЩЕСТВЛЕНИЯ ИНВЕСТИЦИОННОГО</w:t>
      </w:r>
    </w:p>
    <w:p>
      <w:pPr>
        <w:pStyle w:val="2"/>
        <w:jc w:val="center"/>
      </w:pPr>
      <w:r>
        <w:rPr>
          <w:sz w:val="24"/>
        </w:rPr>
        <w:t xml:space="preserve">ПРОЕКТА, В ОТНОШЕНИИ КОТОРОГО ЗАКЛЮЧЕНО СОГЛАШЕНИЕ</w:t>
      </w:r>
    </w:p>
    <w:p>
      <w:pPr>
        <w:pStyle w:val="2"/>
        <w:jc w:val="center"/>
      </w:pPr>
      <w:r>
        <w:rPr>
          <w:sz w:val="24"/>
        </w:rPr>
        <w:t xml:space="preserve">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05.12.2022 </w:t>
            </w:r>
            <w:r>
              <w:rPr>
                <w:sz w:val="24"/>
                <w:color w:val="392c69"/>
              </w:rPr>
              <w:t xml:space="preserve">N 2232</w:t>
            </w:r>
            <w:r>
              <w:rPr>
                <w:sz w:val="24"/>
                <w:color w:val="392c69"/>
              </w:rPr>
              <w:t xml:space="preserve">,</w:t>
            </w:r>
          </w:p>
          <w:p>
            <w:pPr>
              <w:pStyle w:val="0"/>
              <w:jc w:val="center"/>
            </w:pPr>
            <w:r>
              <w:rPr>
                <w:sz w:val="24"/>
                <w:color w:val="392c69"/>
              </w:rPr>
              <w:t xml:space="preserve">от 14.12.2024 </w:t>
            </w:r>
            <w:r>
              <w:rPr>
                <w:sz w:val="24"/>
                <w:color w:val="392c69"/>
              </w:rPr>
              <w:t xml:space="preserve">N 1789</w:t>
            </w:r>
            <w:r>
              <w:rPr>
                <w:sz w:val="24"/>
                <w:color w:val="392c69"/>
              </w:rPr>
              <w:t xml:space="preserve">, от 27.10.2025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51" w:tooltip="ПРАВИЛА">
        <w:r>
          <w:rPr>
            <w:sz w:val="24"/>
            <w:color w:val="0000ff"/>
          </w:rPr>
          <w:t xml:space="preserve">Правила</w:t>
        </w:r>
      </w:hyperlink>
      <w:r>
        <w:rPr>
          <w:sz w:val="24"/>
        </w:rPr>
        <w:t xml:space="preserve"> возмещения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общие </w:t>
      </w:r>
      <w:hyperlink w:history="0" w:anchor="P1277" w:tooltip="ОБЩИЕ ТРЕБОВАНИЯ">
        <w:r>
          <w:rPr>
            <w:sz w:val="24"/>
            <w:color w:val="0000ff"/>
          </w:rPr>
          <w:t xml:space="preserve">требования</w:t>
        </w:r>
      </w:hyperlink>
      <w:r>
        <w:rPr>
          <w:sz w:val="24"/>
        </w:rPr>
        <w:t xml:space="preserve"> к нормативным правовым актам, регулирующим предоставление субсидий из бюджетов субъектов Российской Федерации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 (далее - общие требования).</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2. Министерству экономического развития Российской Федерации в 3-месячный срок утвердить форму паспорта объекта инфраструктуры, указанного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абзаце третьем пункта 26</w:t>
        </w:r>
      </w:hyperlink>
      <w:r>
        <w:rPr>
          <w:sz w:val="24"/>
        </w:rPr>
        <w:t xml:space="preserve"> Правил.</w:t>
      </w:r>
    </w:p>
    <w:bookmarkStart w:id="24" w:name="P24"/>
    <w:bookmarkEnd w:id="24"/>
    <w:p>
      <w:pPr>
        <w:pStyle w:val="0"/>
        <w:spacing w:before="240" w:line-rule="auto"/>
        <w:ind w:firstLine="540"/>
        <w:jc w:val="both"/>
      </w:pPr>
      <w:r>
        <w:rPr>
          <w:sz w:val="24"/>
        </w:rPr>
        <w:t xml:space="preserve">2(1). Передать государственной корпорации развития "ВЭБ.РФ", определенной в качестве уполномоченной организации в соответствии с </w:t>
      </w:r>
      <w:r>
        <w:rPr>
          <w:sz w:val="24"/>
        </w:rPr>
        <w:t xml:space="preserve">пунктом 3</w:t>
      </w:r>
      <w:r>
        <w:rPr>
          <w:sz w:val="24"/>
        </w:rPr>
        <w:t xml:space="preserve"> постановления Правительства Российской Федерации от 13 сентября 2022 г. N 1602 "О соглашениях о защите и поощрении капиталовложений", функции по осуществлению анализа документов, представляемых организацией, реализующей проект, информации, представляемой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подготовке отчета, включающего информацию об объеме меры государственной поддержки, предусмотренной </w:t>
      </w:r>
      <w:r>
        <w:rPr>
          <w:sz w:val="24"/>
        </w:rPr>
        <w:t xml:space="preserve">частью 1 статьи 15</w:t>
      </w:r>
      <w:r>
        <w:rPr>
          <w:sz w:val="24"/>
        </w:rPr>
        <w:t xml:space="preserve"> Федерального закона "О защите и поощрении капиталовложений в Российской Федерации".</w:t>
      </w:r>
    </w:p>
    <w:p>
      <w:pPr>
        <w:pStyle w:val="0"/>
        <w:jc w:val="both"/>
      </w:pPr>
      <w:r>
        <w:rPr>
          <w:sz w:val="24"/>
        </w:rPr>
        <w:t xml:space="preserve">(п. 2(1) введен </w:t>
      </w:r>
      <w:r>
        <w:rPr>
          <w:sz w:val="24"/>
        </w:rPr>
        <w:t xml:space="preserve">Постановлением</w:t>
      </w:r>
      <w:r>
        <w:rPr>
          <w:sz w:val="24"/>
        </w:rPr>
        <w:t xml:space="preserve"> Правительства РФ от 05.12.2022 N 2232;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2(2). Министерству экономического развития Российской Федерации в соответствии с </w:t>
      </w:r>
      <w:r>
        <w:rPr>
          <w:sz w:val="24"/>
        </w:rPr>
        <w:t xml:space="preserve">частью 2 статьи 4.1</w:t>
      </w:r>
      <w:r>
        <w:rPr>
          <w:sz w:val="24"/>
        </w:rPr>
        <w:t xml:space="preserve"> Федерального закона "О защите и поощрении капиталовложений в Российской Федерации" до 1 марта 2023 г. заключить от имени Правительства Российской Федерации с государственной корпорацией развития "ВЭБ.РФ" соглашение об осуществлении функций, указанных в </w:t>
      </w:r>
      <w:hyperlink w:history="0" w:anchor="P24" w:tooltip="2(1). Передать государственной корпорации развития &quot;ВЭБ.РФ&quot;, определенной в качестве уполномоченной организации в соответствии с пунктом 3 постановления Правительства Российской Федерации от 13 сентября 2022 г. N 1602 &quot;О соглашениях о защите и поощрении капиталовложений&quot;, функции по осуществлению анализа документов, представляемых организацией, реализующей проект, информации, представляемой органами государственной власти Российской Федерации, органами государственной власти субъектов Российской Федераци...">
        <w:r>
          <w:rPr>
            <w:sz w:val="24"/>
            <w:color w:val="0000ff"/>
          </w:rPr>
          <w:t xml:space="preserve">пункте 2(1)</w:t>
        </w:r>
      </w:hyperlink>
      <w:r>
        <w:rPr>
          <w:sz w:val="24"/>
        </w:rPr>
        <w:t xml:space="preserve"> настоящего постановления.</w:t>
      </w:r>
    </w:p>
    <w:p>
      <w:pPr>
        <w:pStyle w:val="0"/>
        <w:jc w:val="both"/>
      </w:pPr>
      <w:r>
        <w:rPr>
          <w:sz w:val="24"/>
        </w:rPr>
        <w:t xml:space="preserve">(п. 2(2) введен </w:t>
      </w:r>
      <w:r>
        <w:rPr>
          <w:sz w:val="24"/>
        </w:rPr>
        <w:t xml:space="preserve">Постановлением</w:t>
      </w:r>
      <w:r>
        <w:rPr>
          <w:sz w:val="24"/>
        </w:rPr>
        <w:t xml:space="preserve"> Правительства РФ от 05.12.2022 N 2232)</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rPr>
        <w:t xml:space="preserve">4. Рекомендовать высшим исполнительным органам субъектов Российской Федерации утвердить порядок возмещения субъектами Российской Федерации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руководствуясь </w:t>
      </w:r>
      <w:hyperlink w:history="0" w:anchor="P51" w:tooltip="ПРАВИЛА">
        <w:r>
          <w:rPr>
            <w:sz w:val="24"/>
            <w:color w:val="0000ff"/>
          </w:rPr>
          <w:t xml:space="preserve">Правилами</w:t>
        </w:r>
      </w:hyperlink>
      <w:r>
        <w:rPr>
          <w:sz w:val="24"/>
        </w:rPr>
        <w:t xml:space="preserve"> и общими </w:t>
      </w:r>
      <w:hyperlink w:history="0" w:anchor="P1277" w:tooltip="ОБЩИЕ ТРЕБОВАНИЯ">
        <w:r>
          <w:rPr>
            <w:sz w:val="24"/>
            <w:color w:val="0000ff"/>
          </w:rPr>
          <w:t xml:space="preserve">требованиями</w:t>
        </w:r>
      </w:hyperlink>
      <w:r>
        <w:rPr>
          <w:sz w:val="24"/>
        </w:rPr>
        <w:t xml:space="preserve">.</w:t>
      </w:r>
    </w:p>
    <w:p>
      <w:pPr>
        <w:pStyle w:val="0"/>
        <w:jc w:val="both"/>
      </w:pPr>
      <w:r>
        <w:rPr>
          <w:sz w:val="24"/>
        </w:rPr>
        <w:t xml:space="preserve">(п. 4 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5. Рекомендовать высшим исполнительным органам субъекта Российской Федерации определить исполнительные органы субъектов Российской Федерации, ответственные за предоставление мер государственной поддержки в соответствии со </w:t>
      </w:r>
      <w:r>
        <w:rPr>
          <w:sz w:val="24"/>
        </w:rPr>
        <w:t xml:space="preserve">статьей 15</w:t>
      </w:r>
      <w:r>
        <w:rPr>
          <w:sz w:val="24"/>
        </w:rPr>
        <w:t xml:space="preserve"> Федерального закона "О защите и поощрении капиталовложений в Российской Федерации" и общими </w:t>
      </w:r>
      <w:hyperlink w:history="0" w:anchor="P1277" w:tooltip="ОБЩИЕ ТРЕБОВАНИЯ">
        <w:r>
          <w:rPr>
            <w:sz w:val="24"/>
            <w:color w:val="0000ff"/>
          </w:rPr>
          <w:t xml:space="preserve">требованиями</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5(1).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государственной корпорации развития "ВЭБ.РФ" вознаграждения за осуществление функций уполномоченной организации, предусмотренных </w:t>
      </w:r>
      <w:hyperlink w:history="0" w:anchor="P24" w:tooltip="2(1). Передать государственной корпорации развития &quot;ВЭБ.РФ&quot;, определенной в качестве уполномоченной организации в соответствии с пунктом 3 постановления Правительства Российской Федерации от 13 сентября 2022 г. N 1602 &quot;О соглашениях о защите и поощрении капиталовложений&quot;, функции по осуществлению анализа документов, представляемых организацией, реализующей проект, информации, представляемой органами государственной власти Российской Федерации, органами государственной власти субъектов Российской Федераци...">
        <w:r>
          <w:rPr>
            <w:sz w:val="24"/>
            <w:color w:val="0000ff"/>
          </w:rPr>
          <w:t xml:space="preserve">пунктом 2(1)</w:t>
        </w:r>
      </w:hyperlink>
      <w:r>
        <w:rPr>
          <w:sz w:val="24"/>
        </w:rPr>
        <w:t xml:space="preserve"> настоящего постановления.</w:t>
      </w:r>
    </w:p>
    <w:p>
      <w:pPr>
        <w:pStyle w:val="0"/>
        <w:jc w:val="both"/>
      </w:pPr>
      <w:r>
        <w:rPr>
          <w:sz w:val="24"/>
        </w:rPr>
        <w:t xml:space="preserve">(п. 5(1) введен </w:t>
      </w:r>
      <w:r>
        <w:rPr>
          <w:sz w:val="24"/>
        </w:rPr>
        <w:t xml:space="preserve">Постановлением</w:t>
      </w:r>
      <w:r>
        <w:rPr>
          <w:sz w:val="24"/>
        </w:rPr>
        <w:t xml:space="preserve"> Правительства РФ от 05.12.2022 N 2232)</w:t>
      </w:r>
    </w:p>
    <w:bookmarkStart w:id="35" w:name="P35"/>
    <w:bookmarkEnd w:id="35"/>
    <w:p>
      <w:pPr>
        <w:pStyle w:val="0"/>
        <w:spacing w:before="240" w:line-rule="auto"/>
        <w:ind w:firstLine="540"/>
        <w:jc w:val="both"/>
      </w:pPr>
      <w:r>
        <w:rPr>
          <w:sz w:val="24"/>
        </w:rPr>
        <w:t xml:space="preserve">6. Настоящее постановление вступает в силу со дня его официального опубликования, за исключением </w:t>
      </w:r>
      <w:hyperlink w:history="0" w:anchor="P222" w:tooltip="Прогнозируемые объемы налогов и иных обязательных платежей, подлежащих уплате в бюджеты бюджетной системы Российской Федерации в связи с реализацией проекта, и объем исчисленных к уплате и уплаченных налогов (по каждому налогу (сбору) и иных обязательных платежей в связи с реализацией проекта отражаются в системе &quot;Капиталовложения&quot;.">
        <w:r>
          <w:rPr>
            <w:sz w:val="24"/>
            <w:color w:val="0000ff"/>
          </w:rPr>
          <w:t xml:space="preserve">абзацев второго</w:t>
        </w:r>
      </w:hyperlink>
      <w:r>
        <w:rPr>
          <w:sz w:val="24"/>
        </w:rPr>
        <w:t xml:space="preserve"> - </w:t>
      </w:r>
      <w:hyperlink w:history="0" w:anchor="P232" w:tooltip="По итогам прошедшего финансового года не позднее 30 апреля текущего финансового года Федеральная налоговая служба и Федеральная таможенная служба передают в систему &quot;Капиталовложения&quot; сведения о годовом объеме уплаченных в связи с реализацией проекта налогов и сборов, указанных в абзацах четвертом и пятом настоящего пункта (по каждому налогу (сбору), которые являются основанием для сверки сумм затрат, подлежащих возмещению. При этом учитываются величина недоимки, задолженности по пеням и штрафам по каждо...">
        <w:r>
          <w:rPr>
            <w:sz w:val="24"/>
            <w:color w:val="0000ff"/>
          </w:rPr>
          <w:t xml:space="preserve">шестого пункта 18</w:t>
        </w:r>
      </w:hyperlink>
      <w:r>
        <w:rPr>
          <w:sz w:val="24"/>
        </w:rPr>
        <w:t xml:space="preserve"> Правил и </w:t>
      </w:r>
      <w:hyperlink w:history="0" w:anchor="P1379" w:tooltip="8. Информация о субсидиях, предоставленных организациям, реализующим проект, на возмещение затрат, предусмотренных частью 1 статьи 15 Федерального закона, об объектах инфраструктуры и о правовом статусе объектов инфраструктуры с указанием их текущих правообладателей подлежит размещению в государственной информационной системе &quot;Капиталовложения&quot;.">
        <w:r>
          <w:rPr>
            <w:sz w:val="24"/>
            <w:color w:val="0000ff"/>
          </w:rPr>
          <w:t xml:space="preserve">пункта 8</w:t>
        </w:r>
      </w:hyperlink>
      <w:r>
        <w:rPr>
          <w:sz w:val="24"/>
        </w:rPr>
        <w:t xml:space="preserve"> общих требований, которые вступают в силу со дня ввода в эксплуатацию государственной информационной системы "Капиталовложения" (вторая очередь).</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 октября 2020 г. N 1599</w:t>
      </w:r>
    </w:p>
    <w:p>
      <w:pPr>
        <w:pStyle w:val="0"/>
        <w:jc w:val="both"/>
      </w:pPr>
      <w:r>
        <w:rPr>
          <w:sz w:val="24"/>
        </w:rPr>
      </w:r>
    </w:p>
    <w:bookmarkStart w:id="51" w:name="P51"/>
    <w:bookmarkEnd w:id="51"/>
    <w:p>
      <w:pPr>
        <w:pStyle w:val="2"/>
        <w:jc w:val="center"/>
      </w:pPr>
      <w:r>
        <w:rPr>
          <w:sz w:val="24"/>
        </w:rPr>
        <w:t xml:space="preserve">ПРАВИЛА</w:t>
      </w:r>
    </w:p>
    <w:p>
      <w:pPr>
        <w:pStyle w:val="2"/>
        <w:jc w:val="center"/>
      </w:pPr>
      <w:r>
        <w:rPr>
          <w:sz w:val="24"/>
        </w:rPr>
        <w:t xml:space="preserve">ВОЗМЕЩЕНИЯ ЗАТРАТ, УКАЗАННЫХ В ЧАСТИ 1 СТАТЬИ 15</w:t>
      </w:r>
    </w:p>
    <w:p>
      <w:pPr>
        <w:pStyle w:val="2"/>
        <w:jc w:val="center"/>
      </w:pPr>
      <w:r>
        <w:rPr>
          <w:sz w:val="24"/>
        </w:rPr>
        <w:t xml:space="preserve">ФЕДЕРАЛЬНОГО ЗАКОНА "О ЗАЩИТЕ И ПООЩРЕНИИ КАПИТАЛОВЛОЖЕНИЙ</w:t>
      </w:r>
    </w:p>
    <w:p>
      <w:pPr>
        <w:pStyle w:val="2"/>
        <w:jc w:val="center"/>
      </w:pPr>
      <w:r>
        <w:rPr>
          <w:sz w:val="24"/>
        </w:rPr>
        <w:t xml:space="preserve">В РОССИЙСКОЙ ФЕДЕРАЦИИ", ПОНЕСЕННЫХ ОРГАНИЗАЦИЕЙ,</w:t>
      </w:r>
    </w:p>
    <w:p>
      <w:pPr>
        <w:pStyle w:val="2"/>
        <w:jc w:val="center"/>
      </w:pPr>
      <w:r>
        <w:rPr>
          <w:sz w:val="24"/>
        </w:rPr>
        <w:t xml:space="preserve">РЕАЛИЗУЮЩЕЙ ПРОЕКТ, В РАМКАХ ОСУЩЕСТВЛЕНИЯ ИНВЕСТИЦИОННОГО</w:t>
      </w:r>
    </w:p>
    <w:p>
      <w:pPr>
        <w:pStyle w:val="2"/>
        <w:jc w:val="center"/>
      </w:pPr>
      <w:r>
        <w:rPr>
          <w:sz w:val="24"/>
        </w:rPr>
        <w:t xml:space="preserve">ПРОЕКТА, В ОТНОШЕНИИ КОТОРОГО ЗАКЛЮЧЕНО СОГЛАШЕНИЕ</w:t>
      </w:r>
    </w:p>
    <w:p>
      <w:pPr>
        <w:pStyle w:val="2"/>
        <w:jc w:val="center"/>
      </w:pPr>
      <w:r>
        <w:rPr>
          <w:sz w:val="24"/>
        </w:rPr>
        <w:t xml:space="preserve">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05.12.2022 </w:t>
            </w:r>
            <w:r>
              <w:rPr>
                <w:sz w:val="24"/>
                <w:color w:val="392c69"/>
              </w:rPr>
              <w:t xml:space="preserve">N 2232</w:t>
            </w:r>
            <w:r>
              <w:rPr>
                <w:sz w:val="24"/>
                <w:color w:val="392c69"/>
              </w:rPr>
              <w:t xml:space="preserve">,</w:t>
            </w:r>
          </w:p>
          <w:p>
            <w:pPr>
              <w:pStyle w:val="0"/>
              <w:jc w:val="center"/>
            </w:pPr>
            <w:r>
              <w:rPr>
                <w:sz w:val="24"/>
                <w:color w:val="392c69"/>
              </w:rPr>
              <w:t xml:space="preserve">от 14.12.2024 </w:t>
            </w:r>
            <w:r>
              <w:rPr>
                <w:sz w:val="24"/>
                <w:color w:val="392c69"/>
              </w:rPr>
              <w:t xml:space="preserve">N 1789</w:t>
            </w:r>
            <w:r>
              <w:rPr>
                <w:sz w:val="24"/>
                <w:color w:val="392c69"/>
              </w:rPr>
              <w:t xml:space="preserve">, от 27.10.2025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возмещения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соответственно - Федеральный закон, возмещение затрат).</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В настоящих Правилах используются понятия, установленные Федеральным </w:t>
      </w:r>
      <w:r>
        <w:rPr>
          <w:sz w:val="24"/>
        </w:rPr>
        <w:t xml:space="preserve">законом</w:t>
      </w:r>
      <w:r>
        <w:rPr>
          <w:sz w:val="24"/>
        </w:rPr>
        <w:t xml:space="preserve">, а также следующие определения:</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"основной объект проекта" - основной объект инвестиционного проекта, указанный в </w:t>
      </w:r>
      <w:r>
        <w:rPr>
          <w:sz w:val="24"/>
        </w:rPr>
        <w:t xml:space="preserve">пункте 3.1 части 1 статьи 2</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rPr>
        <w:t xml:space="preserve">"объекты инфраструктуры" - объекты обеспечивающей и (или) сопутствующей инфраструктур, относящиеся к объектам транспортной, энергетической, коммунальной, социальной, цифровой инфраструктуры (в том числе здания, строения, сооружения), предназначенные для реализации проекта, ввода в эксплуатацию и последующей эксплуатации (использования) объекта нового проекта (в том числе для его технологического присоединения к сетям электро-, и (или) газо-, и (или) тепло-, и (или) водоснабжения и (или) водоотведения, транспортным сетям);</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"объекты транспортной инфраструктуры" - объекты недвижимого имущества, а также объекты движимого имущества, неразрывно связанные физически и (или) технологически с объектами указанного недвижимого имущества, предназначенные для обеспечения движения транспортных средств, перемещения граждан или товаров, в том числе технологические комплексы, включающие в себя железнодорожные вокзалы, автовокзалы и автостанции, путепроводы, тоннели, эстакады, мосты, морские терминалы, порты, аэродромы, аэропорты, автомобильные дороги, железнодорожные и внутренние водные пути, вертодромы, посадочные площадки, а также иные обеспечивающие функционирование транспортной инфраструктуры здания, сооружения, устройства и оборудование;</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"объекты энергетической инфраструктуры" - объекты электроэнергетики, энергопринимающие устройства и установки, объекты электросетевого хозяйства, определенные законодательством Российской Федерации об электроэнергетике, объекты теплоснабжения, теплопотребляющие установки, источники тепловой энергии, тепловые сети, определенные законодательством Российской Федерации о теплоснабжении, объекты газораспределительной системы, определенные законодательством Российской Федерации о газоснабжении;</w:t>
      </w:r>
    </w:p>
    <w:p>
      <w:pPr>
        <w:pStyle w:val="0"/>
        <w:spacing w:before="240" w:line-rule="auto"/>
        <w:ind w:firstLine="540"/>
        <w:jc w:val="both"/>
      </w:pPr>
      <w:r>
        <w:rPr>
          <w:sz w:val="24"/>
        </w:rPr>
        <w:t xml:space="preserve">"объекты коммунальной инфраструктуры" - объекты водо-, тепло-, газо- и энергоснабжения, водоотведения, канализации, дождевой канализации, чистки сточных вод, объекты, на которых осуществляются обработка, утилизация, обезвреживание и захоронение твердых коммунальных отходов, объекты воздухоснабжения, объекты телефонизации и связи;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"объекты социальной инфраструктуры" - объекты, обеспечивающие потребности человека в получении, приобретении жизненно важных услуг, продуктов, товаров, в том числе объекты здравоохранения, образования, социального обеспечения и социальной защиты населения, общественного питания, бытового обслуживания, а также культуры, досуга, спорта, жилые помещения;</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"объекты цифровой инфраструктуры" - объекты цифровой инфраструктуры, включая сети связи, центры обработки данных;</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"федеральное соглашение о защите и поощрении капиталовложений" - соглашение о защите и поощрении капиталовложений, стороной которого является Российская Федерация;</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"обязательные платежи, исчисленные организацией, реализующей проект, для уплаты в федеральный бюджет в связи с реализацией проекта" - суммы налога на добавленную стоимость (за вычетом налога на добавленную стоимость, возмещенного организации, реализующей проект), налога на прибыль организаций, подлежащего зачислению в федеральный бюджет в соответствии с Налоговым </w:t>
      </w:r>
      <w:r>
        <w:rPr>
          <w:sz w:val="24"/>
        </w:rPr>
        <w:t xml:space="preserve">кодексом</w:t>
      </w:r>
      <w:r>
        <w:rPr>
          <w:sz w:val="24"/>
        </w:rPr>
        <w:t xml:space="preserve"> Российской Федерации, ввозных таможенных пошлин, исчисленные организацией, реализующей проект, в соответствующем отчетном периоде в связи с реализацией проекта на стадии эксплуатации;</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"обязательные платежи, исчисленные организацией, реализующей проект, для уплаты в бюджет субъекта Российской Федерации в связи с реализацией проекта" - суммы налога на прибыль организаций, подлежащего зачислению в соответствующий бюджет субъекта Российской Федерации в соответствии с Налоговым </w:t>
      </w:r>
      <w:r>
        <w:rPr>
          <w:sz w:val="24"/>
        </w:rPr>
        <w:t xml:space="preserve">кодексом</w:t>
      </w:r>
      <w:r>
        <w:rPr>
          <w:sz w:val="24"/>
        </w:rPr>
        <w:t xml:space="preserve"> Российской Федерации, налога на имущество организаций, исчисленные организацией, реализующей проект, в соответствующем отчетном периоде в связи с реализацией проекта на стадии эксплуатации;</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"обязательные платежи, исчисленные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 суммы обязательных платежей, исчисленные организацией, реализующей проект, для уплаты в федеральный бюджет в связи с реализацией проекта, и суммы обязательных платежей, исчисленные организацией, реализующей проект, для уплаты в бюджет субъекта Российской Федерации в связи с реализацией проекта, и суммы обязательных платежей, исчисленные организацией, реализующей проект, для уплаты в местный бюджет;</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"система "Капиталовложения" - государственная информационная система "Капиталовложения", создание, ввод в эксплуатацию, развитие и эксплуатация которой предусмотрены </w:t>
      </w:r>
      <w:r>
        <w:rPr>
          <w:sz w:val="24"/>
        </w:rPr>
        <w:t xml:space="preserve">статьей 5</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"кредитный договор" - договор о предоставлении кредита, в том числе синдицированного (за исключением кредитных договоров, указанных в </w:t>
      </w:r>
      <w:r>
        <w:rPr>
          <w:sz w:val="24"/>
        </w:rPr>
        <w:t xml:space="preserve">пункте 2 части 1 статьи 14</w:t>
      </w:r>
      <w:r>
        <w:rPr>
          <w:sz w:val="24"/>
        </w:rPr>
        <w:t xml:space="preserve"> Федерального закона), заключенный организацией, реализующей проект, с кредитной организацией, государственной корпорацией развития "ВЭБ.РФ", иным российским юридическим лицом, которое может выступать кредитором по договору синдицированного кредита в соответствии с Федеральным </w:t>
      </w:r>
      <w:r>
        <w:rPr>
          <w:sz w:val="24"/>
        </w:rPr>
        <w:t xml:space="preserve">законом</w:t>
      </w:r>
      <w:r>
        <w:rPr>
          <w:sz w:val="24"/>
        </w:rPr>
        <w:t xml:space="preserve"> "О синдицированном кредите (займе) и внесении изменений в отдельные законодательные акты Российской Федерации", в целях создания (строительства), либо реконструкции и (или) модернизации (далее - создание) основного объекта проекта (основных объектов проекта) и (или) объектов инфраструктуры, в том числе реконструкции объектов инфраструктуры, находящихся в государственной (муниципальной) собственности;</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"договор займа" - договор о предоставлении займа, в том числе синдицированного, заключенный организацией, реализующей проект, с кредитной организацией, государственной корпорацией развития "ВЭБ.РФ", иным российским юридическим лицом, которое может выступать займодавцем по договору синдицированного займа в соответствии с Федеральным </w:t>
      </w:r>
      <w:r>
        <w:rPr>
          <w:sz w:val="24"/>
        </w:rPr>
        <w:t xml:space="preserve">законом</w:t>
      </w:r>
      <w:r>
        <w:rPr>
          <w:sz w:val="24"/>
        </w:rPr>
        <w:t xml:space="preserve"> "О синдицированном кредите (займе) и внесении изменений в отдельные законодательные акты Российской Федерации", в целях создания основного объекта проекта (основных объектов проекта) и (или) объектов инфраструктуры, в том числе реконструкции объектов инфраструктуры, находящихся в государственной (муниципальной) собственности;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 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"облигационный заем" - договор займа, заключенный путем размещения облигаций в соответствии с </w:t>
      </w:r>
      <w:r>
        <w:rPr>
          <w:sz w:val="24"/>
        </w:rPr>
        <w:t xml:space="preserve">пунктом 4 статьи 807</w:t>
      </w:r>
      <w:r>
        <w:rPr>
          <w:sz w:val="24"/>
        </w:rPr>
        <w:t xml:space="preserve"> Гражданского кодекса Российской Федерации и Федеральным </w:t>
      </w:r>
      <w:r>
        <w:rPr>
          <w:sz w:val="24"/>
        </w:rPr>
        <w:t xml:space="preserve">законом</w:t>
      </w:r>
      <w:r>
        <w:rPr>
          <w:sz w:val="24"/>
        </w:rPr>
        <w:t xml:space="preserve"> "О рынке ценных бумаг";</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"уплаченный в связи с реализацией проекта налог (сбор)" - положительная разница между суммой соответствующего налога (сбора), исчисленной организацией, реализующей проект, в связи с реализацией проекта, и величиной недоимки, задолженности по пеням и штрафам по этому налогу (сбору);</w:t>
      </w:r>
    </w:p>
    <w:p>
      <w:pPr>
        <w:pStyle w:val="0"/>
        <w:spacing w:before="240" w:line-rule="auto"/>
        <w:ind w:firstLine="540"/>
        <w:jc w:val="both"/>
      </w:pPr>
      <w:r>
        <w:rPr>
          <w:sz w:val="24"/>
        </w:rPr>
        <w:t xml:space="preserve">"проект" - инвестиционный проект, в отношении которого заключено соглашение о защите и поощрении капиталовложений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в соответствии с Налоговым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"демонтаж" - ликвидация объекта капитального строительства, в том числе его частей;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w:t>
      </w:r>
    </w:p>
    <w:p>
      <w:pPr>
        <w:pStyle w:val="0"/>
        <w:spacing w:before="240" w:line-rule="auto"/>
        <w:ind w:firstLine="540"/>
        <w:jc w:val="both"/>
      </w:pPr>
      <w:r>
        <w:rPr>
          <w:sz w:val="24"/>
        </w:rPr>
        <w:t xml:space="preserve">"конечный балансодержатель" - юридическое лицо или публично-правовое образование, осуществляющее права владения, пользования и распоряжения принадлежащим ему на праве собственности имуществом, созданным по итогам реализации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"нормативы возмещения затрат" - установленные в соответствии с настоящими Правилами показатели, используемые при определении объема возмещения затрат в размере, который не может превышать предельный объем возмещаемых затрат.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Понятия отдельных видов объектов инфраструктуры применяются в настоящих Правилах в значениях, установленных федеральными законами и актами Правительства Российской Федерации.</w:t>
      </w:r>
    </w:p>
    <w:p>
      <w:pPr>
        <w:pStyle w:val="0"/>
        <w:spacing w:before="240" w:line-rule="auto"/>
        <w:ind w:firstLine="540"/>
        <w:jc w:val="both"/>
      </w:pPr>
      <w:r>
        <w:rPr>
          <w:sz w:val="24"/>
        </w:rPr>
        <w:t xml:space="preserve">Понятия "отчетный период" и "налоговый период" применяются в настоящих Правилах в значениях, установленных Налоговым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2. Настоящие Правила устанавливают в том числе:</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общие положения в отношении порядка возмещения затрат;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порядок определения объема возмещения затрат;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порядок возмещения затрат из федерального бюджета в соответствии с бюджетным законодательством Российской Федерации (далее - субсидия);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требования к отчетности и требования об осуществлении контроля за соблюдением порядка и условий предоставления субсидии;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подтверждение соответствия создаваемой (строящейся), модернизируемой и (или) реконструируемой инфраструктур потребностям инвестиционного проекта;</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основания отнесения объектов инфраструктуры к обеспечивающей или сопутствующей инфраструктуре, необходимой для реализации проекта;</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форму расчета объема возмещения затрат, указанных в </w:t>
      </w:r>
      <w:r>
        <w:rPr>
          <w:sz w:val="24"/>
        </w:rPr>
        <w:t xml:space="preserve">части 1 статьи 15</w:t>
      </w:r>
      <w:r>
        <w:rPr>
          <w:sz w:val="24"/>
        </w:rPr>
        <w:t xml:space="preserve"> Федерального закона, и порядок ее заполнения;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 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подтверждение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особенности учета исчисленных для уплаты налогов и иных обязательных платежей в связи с реализацией новых проектов;</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нормативы возмещения затрат.</w:t>
      </w:r>
    </w:p>
    <w:p>
      <w:pPr>
        <w:pStyle w:val="0"/>
        <w:spacing w:before="240" w:line-rule="auto"/>
        <w:ind w:firstLine="540"/>
        <w:jc w:val="both"/>
      </w:pPr>
      <w:r>
        <w:rPr>
          <w:sz w:val="24"/>
        </w:rPr>
        <w:t xml:space="preserve">3. Целью предоставления субсидий является государственная поддержка проектов, предусмотренная </w:t>
      </w:r>
      <w:r>
        <w:rPr>
          <w:sz w:val="24"/>
        </w:rPr>
        <w:t xml:space="preserve">статьей 15</w:t>
      </w:r>
      <w:r>
        <w:rPr>
          <w:sz w:val="24"/>
        </w:rPr>
        <w:t xml:space="preserve"> Федерального закона, осуществляемая в рамках федеральных соглашений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135" w:name="P135"/>
    <w:bookmarkEnd w:id="135"/>
    <w:p>
      <w:pPr>
        <w:pStyle w:val="0"/>
        <w:spacing w:before="240" w:line-rule="auto"/>
        <w:ind w:firstLine="540"/>
        <w:jc w:val="both"/>
      </w:pPr>
      <w:r>
        <w:rPr>
          <w:sz w:val="24"/>
        </w:rPr>
        <w:t xml:space="preserve">4. Субсидии предоставляются в целях возмещения организациям, реализующим проекты, затрат:</w:t>
      </w:r>
    </w:p>
    <w:bookmarkStart w:id="136" w:name="P136"/>
    <w:bookmarkEnd w:id="136"/>
    <w:p>
      <w:pPr>
        <w:pStyle w:val="0"/>
        <w:spacing w:before="240" w:line-rule="auto"/>
        <w:ind w:firstLine="540"/>
        <w:jc w:val="both"/>
      </w:pPr>
      <w:r>
        <w:rPr>
          <w:sz w:val="24"/>
        </w:rPr>
        <w:t xml:space="preserve">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bookmarkStart w:id="138" w:name="P138"/>
    <w:bookmarkEnd w:id="138"/>
    <w:p>
      <w:pPr>
        <w:pStyle w:val="0"/>
        <w:spacing w:before="240" w:line-rule="auto"/>
        <w:ind w:firstLine="540"/>
        <w:jc w:val="both"/>
      </w:pPr>
      <w:r>
        <w:rPr>
          <w:sz w:val="24"/>
        </w:rPr>
        <w:t xml:space="preserve">на уплату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bookmarkStart w:id="140" w:name="P140"/>
    <w:bookmarkEnd w:id="140"/>
    <w:p>
      <w:pPr>
        <w:pStyle w:val="0"/>
        <w:spacing w:before="240" w:line-rule="auto"/>
        <w:ind w:firstLine="540"/>
        <w:jc w:val="both"/>
      </w:pPr>
      <w:r>
        <w:rPr>
          <w:sz w:val="24"/>
        </w:rPr>
        <w:t xml:space="preserve">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на демонтаж объектов, расположенных на территориях военных городков (в части жилищного строительства), при одновременном выполнении условий, предусмотренных </w:t>
      </w:r>
      <w:r>
        <w:rPr>
          <w:sz w:val="24"/>
        </w:rPr>
        <w:t xml:space="preserve">пунктом 5 части 1 статьи 15</w:t>
      </w:r>
      <w:r>
        <w:rPr>
          <w:sz w:val="24"/>
        </w:rPr>
        <w:t xml:space="preserve"> Федерального закона.</w:t>
      </w:r>
    </w:p>
    <w:p>
      <w:pPr>
        <w:pStyle w:val="0"/>
        <w:jc w:val="both"/>
      </w:pPr>
      <w:r>
        <w:rPr>
          <w:sz w:val="24"/>
        </w:rPr>
        <w:t xml:space="preserve">(п. 4 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highlight w:val="yellow"/>
        </w:rPr>
        <w:t xml:space="preserve">5</w:t>
      </w:r>
      <w:r>
        <w:rPr>
          <w:sz w:val="24"/>
        </w:rPr>
        <w:t xml:space="preserve">. Субсидии предоставляются организациям, реализующим проекты, в пределах бюджетных ассигнований, предусмотренных Министерству экономического развития Российской Федерации федеральным законом о федеральном бюджете на соответствующий финансовый год и плановый период, и лимитов бюджетных обязательств, утвержденных и доведенных в установленном порядке до Министерства как получателя средств федерального бюджета на цели, указанные в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пункте 4</w:t>
        </w:r>
      </w:hyperlink>
      <w:r>
        <w:rPr>
          <w:sz w:val="24"/>
        </w:rPr>
        <w:t xml:space="preserve"> настоящих Правил.</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highlight w:val="yellow"/>
        </w:rPr>
        <w:t xml:space="preserve">6</w:t>
      </w:r>
      <w:r>
        <w:rPr>
          <w:sz w:val="24"/>
        </w:rPr>
        <w:t xml:space="preserve">. Возмещение затрат на цели, предусмотренные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 осуществляется по проекту, в отношении которого заключено федеральное соглашение о защите и поощрении капиталовложений, которое содержит обязательство Российской Федерации осуществлять выплаты из федерального бюджета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федеральный бюджет в связи с реализацией проекта.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highlight w:val="yellow"/>
        </w:rPr>
        <w:t xml:space="preserve">7.</w:t>
      </w:r>
      <w:r>
        <w:rPr>
          <w:sz w:val="24"/>
        </w:rPr>
        <w:t xml:space="preserve"> Затраты организации, реализующей проект, в соответствии с настоящими Правилами не возмещаются в случае, если:</w:t>
      </w:r>
    </w:p>
    <w:p>
      <w:pPr>
        <w:pStyle w:val="0"/>
        <w:spacing w:before="240" w:line-rule="auto"/>
        <w:ind w:firstLine="540"/>
        <w:jc w:val="both"/>
      </w:pPr>
      <w:r>
        <w:rPr>
          <w:sz w:val="24"/>
        </w:rPr>
        <w:t xml:space="preserve">затраты уже возмещены организации, реализующей проект (взаимозависимым с ней лицам), за счет средств бюджетов бюджетной системы Российской Федерации;</w:t>
      </w:r>
    </w:p>
    <w:p>
      <w:pPr>
        <w:pStyle w:val="0"/>
        <w:spacing w:before="240" w:line-rule="auto"/>
        <w:ind w:firstLine="540"/>
        <w:jc w:val="both"/>
      </w:pPr>
      <w:r>
        <w:rPr>
          <w:sz w:val="24"/>
        </w:rPr>
        <w:t xml:space="preserve">проект реализуется в сфере цифровой экономики, по нему предоставляются меры государственной поддержки в соответствии с национальной </w:t>
      </w:r>
      <w:r>
        <w:rPr>
          <w:sz w:val="24"/>
        </w:rPr>
        <w:t xml:space="preserve">программой</w:t>
      </w:r>
      <w:r>
        <w:rPr>
          <w:sz w:val="24"/>
        </w:rPr>
        <w:t xml:space="preserve"> "Цифровая экономика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 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В случае если проект реализуется в сфере добычи руд цветных металлов (золота), объем капитальных вложений в который составляет не менее 300 млрд. рублей, и организация, реализующая проект, включена в реестр участников региональных инвестиционных проектов, затраты на цели, указанные в </w:t>
      </w:r>
      <w:hyperlink w:history="0" w:anchor="P136" w:tooltip="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абзаце втором пункта 4</w:t>
        </w:r>
      </w:hyperlink>
      <w:r>
        <w:rPr>
          <w:sz w:val="24"/>
        </w:rPr>
        <w:t xml:space="preserve"> настоящих Правил, не возмещаются.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05.12.2022 N 2232; 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абзацы третий - четвертый утратили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rPr>
        <w:t xml:space="preserve">Размер субсидии подлежит уменьшению на объем средств, полученных из бюджетов бюджетной системы Российской Федерации в случае предоставления мер прямой государственной поддержки в отношении проекта, а также в случае возмещения причиненного организации, реализующей проект, реального ущерба, указанного в </w:t>
      </w:r>
      <w:r>
        <w:rPr>
          <w:sz w:val="24"/>
        </w:rPr>
        <w:t xml:space="preserve">части 3 статьи 12</w:t>
      </w:r>
      <w:r>
        <w:rPr>
          <w:sz w:val="24"/>
        </w:rPr>
        <w:t xml:space="preserve"> Федерального закона, в отношении проекта, по которому заключено соглашение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8. Получателями субсидий являются организации, реализующие проект, ранее заключившие федеральное соглашение о защите и поощрении капиталовложений.</w:t>
      </w:r>
    </w:p>
    <w:p>
      <w:pPr>
        <w:pStyle w:val="0"/>
        <w:spacing w:before="240" w:line-rule="auto"/>
        <w:ind w:firstLine="540"/>
        <w:jc w:val="both"/>
      </w:pPr>
      <w:r>
        <w:rPr>
          <w:sz w:val="24"/>
        </w:rPr>
        <w:t xml:space="preserve">В целях получения субсидии организации, реализующие проект, обязаны осуществлять раздельный учет сумм налогов и иных обязательных платежей,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 за исключением случаев, установленных </w:t>
      </w:r>
      <w:r>
        <w:rPr>
          <w:sz w:val="24"/>
        </w:rPr>
        <w:t xml:space="preserve">статьей 5</w:t>
      </w:r>
      <w:r>
        <w:rPr>
          <w:sz w:val="24"/>
        </w:rPr>
        <w:t xml:space="preserve"> Налогового кодекса Российской Федерации.</w:t>
      </w:r>
    </w:p>
    <w:p>
      <w:pPr>
        <w:pStyle w:val="0"/>
        <w:spacing w:before="240" w:line-rule="auto"/>
        <w:ind w:firstLine="540"/>
        <w:jc w:val="both"/>
      </w:pPr>
      <w:r>
        <w:rPr>
          <w:sz w:val="24"/>
        </w:rPr>
        <w:t xml:space="preserve">8(1). Возмещение затрат осуществляется на следующих условиях:</w:t>
      </w:r>
    </w:p>
    <w:p>
      <w:pPr>
        <w:pStyle w:val="0"/>
        <w:spacing w:before="240" w:line-rule="auto"/>
        <w:ind w:firstLine="540"/>
        <w:jc w:val="both"/>
      </w:pPr>
      <w:r>
        <w:rPr>
          <w:sz w:val="24"/>
        </w:rPr>
        <w:t xml:space="preserve">а) затраты организации, реализующей проект, осуществлены на цели, указанные в </w:t>
      </w:r>
      <w:r>
        <w:rPr>
          <w:sz w:val="24"/>
        </w:rPr>
        <w:t xml:space="preserve">части 1 статьи 15</w:t>
      </w:r>
      <w:r>
        <w:rPr>
          <w:sz w:val="24"/>
        </w:rPr>
        <w:t xml:space="preserve"> Федерального закона;</w:t>
      </w:r>
    </w:p>
    <w:p>
      <w:pPr>
        <w:pStyle w:val="0"/>
        <w:spacing w:before="240" w:line-rule="auto"/>
        <w:ind w:firstLine="540"/>
        <w:jc w:val="both"/>
      </w:pPr>
      <w:r>
        <w:rPr>
          <w:sz w:val="24"/>
        </w:rPr>
        <w:t xml:space="preserve">б) субсидия предоставляется в пределах объемов возмещения затрат, предусмотренных </w:t>
      </w:r>
      <w:r>
        <w:rPr>
          <w:sz w:val="24"/>
        </w:rPr>
        <w:t xml:space="preserve">частями 4</w:t>
      </w:r>
      <w:r>
        <w:rPr>
          <w:sz w:val="24"/>
        </w:rPr>
        <w:t xml:space="preserve"> и </w:t>
      </w:r>
      <w:r>
        <w:rPr>
          <w:sz w:val="24"/>
        </w:rPr>
        <w:t xml:space="preserve">5 статьи 15</w:t>
      </w:r>
      <w:r>
        <w:rPr>
          <w:sz w:val="24"/>
        </w:rPr>
        <w:t xml:space="preserve"> Федерального закона, и сроков, указанных в </w:t>
      </w:r>
      <w:r>
        <w:rPr>
          <w:sz w:val="24"/>
        </w:rPr>
        <w:t xml:space="preserve">частях 6</w:t>
      </w:r>
      <w:r>
        <w:rPr>
          <w:sz w:val="24"/>
        </w:rPr>
        <w:t xml:space="preserve"> и </w:t>
      </w:r>
      <w:r>
        <w:rPr>
          <w:sz w:val="24"/>
        </w:rPr>
        <w:t xml:space="preserve">7 статьи 15</w:t>
      </w:r>
      <w:r>
        <w:rPr>
          <w:sz w:val="24"/>
        </w:rPr>
        <w:t xml:space="preserve"> Федерального закона, в размере, не превышающем размера обязательных платежей, фактически уплаченных организацией, реализующей проект, в отчетном финансовом году в федеральный бюджет в связи с реализацией проекта;</w:t>
      </w:r>
    </w:p>
    <w:p>
      <w:pPr>
        <w:pStyle w:val="0"/>
        <w:spacing w:before="240" w:line-rule="auto"/>
        <w:ind w:firstLine="540"/>
        <w:jc w:val="both"/>
      </w:pPr>
      <w:r>
        <w:rPr>
          <w:sz w:val="24"/>
        </w:rPr>
        <w:t xml:space="preserve">в) соблюдение условий, предусмотренных </w:t>
      </w:r>
      <w:r>
        <w:rPr>
          <w:sz w:val="24"/>
        </w:rPr>
        <w:t xml:space="preserve">частью 9 статьи 15</w:t>
      </w:r>
      <w:r>
        <w:rPr>
          <w:sz w:val="24"/>
        </w:rPr>
        <w:t xml:space="preserve"> Федерального закона;</w:t>
      </w:r>
    </w:p>
    <w:p>
      <w:pPr>
        <w:pStyle w:val="0"/>
        <w:spacing w:before="240" w:line-rule="auto"/>
        <w:ind w:firstLine="540"/>
        <w:jc w:val="both"/>
      </w:pPr>
      <w:r>
        <w:rPr>
          <w:sz w:val="24"/>
        </w:rPr>
        <w:t xml:space="preserve">г) представление заключений, предусмотренных </w:t>
      </w:r>
      <w:r>
        <w:rPr>
          <w:sz w:val="24"/>
        </w:rPr>
        <w:t xml:space="preserve">частью 9 статьи 15</w:t>
      </w:r>
      <w:r>
        <w:rPr>
          <w:sz w:val="24"/>
        </w:rPr>
        <w:t xml:space="preserve"> Федерального закона;</w:t>
      </w:r>
    </w:p>
    <w:p>
      <w:pPr>
        <w:pStyle w:val="0"/>
        <w:spacing w:before="240" w:line-rule="auto"/>
        <w:ind w:firstLine="540"/>
        <w:jc w:val="both"/>
      </w:pPr>
      <w:r>
        <w:rPr>
          <w:sz w:val="24"/>
        </w:rPr>
        <w:t xml:space="preserve">д) выполнение условий, предусмотренных </w:t>
      </w:r>
      <w:r>
        <w:rPr>
          <w:sz w:val="24"/>
        </w:rPr>
        <w:t xml:space="preserve">пунктом 8.3 статьи 78</w:t>
      </w:r>
      <w:r>
        <w:rPr>
          <w:sz w:val="24"/>
        </w:rPr>
        <w:t xml:space="preserve"> Бюджетного кодекса Российской Федерации;</w:t>
      </w:r>
    </w:p>
    <w:p>
      <w:pPr>
        <w:pStyle w:val="0"/>
        <w:spacing w:before="240" w:line-rule="auto"/>
        <w:ind w:firstLine="540"/>
        <w:jc w:val="both"/>
      </w:pPr>
      <w:r>
        <w:rPr>
          <w:sz w:val="24"/>
        </w:rPr>
        <w:t xml:space="preserve">е) в отношении возмещения затрат на цели, указанные в </w:t>
      </w:r>
      <w:r>
        <w:rPr>
          <w:sz w:val="24"/>
        </w:rPr>
        <w:t xml:space="preserve">пунктах 1</w:t>
      </w:r>
      <w:r>
        <w:rPr>
          <w:sz w:val="24"/>
        </w:rPr>
        <w:t xml:space="preserve"> и </w:t>
      </w:r>
      <w:r>
        <w:rPr>
          <w:sz w:val="24"/>
        </w:rPr>
        <w:t xml:space="preserve">2 части 1 статьи 15</w:t>
      </w:r>
      <w:r>
        <w:rPr>
          <w:sz w:val="24"/>
        </w:rPr>
        <w:t xml:space="preserve"> Федерального закона, соблюдены следующие требования:</w:t>
      </w:r>
    </w:p>
    <w:p>
      <w:pPr>
        <w:pStyle w:val="0"/>
        <w:spacing w:before="240" w:line-rule="auto"/>
        <w:ind w:firstLine="540"/>
        <w:jc w:val="both"/>
      </w:pPr>
      <w:r>
        <w:rPr>
          <w:sz w:val="24"/>
        </w:rPr>
        <w:t xml:space="preserve">в соответствии с </w:t>
      </w:r>
      <w:r>
        <w:rPr>
          <w:sz w:val="24"/>
        </w:rPr>
        <w:t xml:space="preserve">частью 17 статьи 15</w:t>
      </w:r>
      <w:r>
        <w:rPr>
          <w:sz w:val="24"/>
        </w:rPr>
        <w:t xml:space="preserve"> Федерального закона объекты сопутствующей инфраструктуры соответствуют критериям, предусмотренным </w:t>
      </w:r>
      <w:r>
        <w:rPr>
          <w:sz w:val="24"/>
        </w:rPr>
        <w:t xml:space="preserve">пунктом 13 части 1 статьи 2</w:t>
      </w:r>
      <w:r>
        <w:rPr>
          <w:sz w:val="24"/>
        </w:rPr>
        <w:t xml:space="preserve"> Федерального закона (в случае возмещения затрат в отношении объектов сопутствующей инфраструктуры);</w:t>
      </w:r>
    </w:p>
    <w:p>
      <w:pPr>
        <w:pStyle w:val="0"/>
        <w:spacing w:before="240" w:line-rule="auto"/>
        <w:ind w:firstLine="540"/>
        <w:jc w:val="both"/>
      </w:pPr>
      <w:r>
        <w:rPr>
          <w:sz w:val="24"/>
        </w:rPr>
        <w:t xml:space="preserve">в соответствии с </w:t>
      </w:r>
      <w:r>
        <w:rPr>
          <w:sz w:val="24"/>
        </w:rPr>
        <w:t xml:space="preserve">частью 18 статьи 15</w:t>
      </w:r>
      <w:r>
        <w:rPr>
          <w:sz w:val="24"/>
        </w:rPr>
        <w:t xml:space="preserve"> Федерального закона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r>
        <w:rPr>
          <w:sz w:val="24"/>
        </w:rPr>
        <w:t xml:space="preserve">частью 19 статьи 15</w:t>
      </w:r>
      <w:r>
        <w:rPr>
          <w:sz w:val="24"/>
        </w:rPr>
        <w:t xml:space="preserve"> Федерального закона (в случае возмещения затрат в отношении объектов сопутствующей инфраструктуры).</w:t>
      </w:r>
    </w:p>
    <w:p>
      <w:pPr>
        <w:pStyle w:val="0"/>
        <w:jc w:val="both"/>
      </w:pPr>
      <w:r>
        <w:rPr>
          <w:sz w:val="24"/>
        </w:rPr>
        <w:t xml:space="preserve">(п. 8(1)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8(2). К получателю субсидии предъявляются следующие требования:</w:t>
      </w:r>
    </w:p>
    <w:p>
      <w:pPr>
        <w:pStyle w:val="0"/>
        <w:spacing w:before="240" w:line-rule="auto"/>
        <w:ind w:firstLine="540"/>
        <w:jc w:val="both"/>
      </w:pPr>
      <w:r>
        <w:rPr>
          <w:sz w:val="24"/>
        </w:rPr>
        <w:t xml:space="preserve">а) организация, реализующая проект, воспользовалась правом на возмещение затрат в срок, установленный </w:t>
      </w:r>
      <w:r>
        <w:rPr>
          <w:sz w:val="24"/>
        </w:rPr>
        <w:t xml:space="preserve">частью 12 статьи 15</w:t>
      </w:r>
      <w:r>
        <w:rPr>
          <w:sz w:val="24"/>
        </w:rPr>
        <w:t xml:space="preserve"> Федерального закона;</w:t>
      </w:r>
    </w:p>
    <w:p>
      <w:pPr>
        <w:pStyle w:val="0"/>
        <w:spacing w:before="240" w:line-rule="auto"/>
        <w:ind w:firstLine="540"/>
        <w:jc w:val="both"/>
      </w:pPr>
      <w:r>
        <w:rPr>
          <w:sz w:val="24"/>
        </w:rPr>
        <w:t xml:space="preserve">б) организация, реализующая проект, соответствует требованию, указанному в </w:t>
      </w:r>
      <w:r>
        <w:rPr>
          <w:sz w:val="24"/>
        </w:rPr>
        <w:t xml:space="preserve">части 1.1 статьи 15</w:t>
      </w:r>
      <w:r>
        <w:rPr>
          <w:sz w:val="24"/>
        </w:rPr>
        <w:t xml:space="preserve"> Федерального закона;</w:t>
      </w:r>
    </w:p>
    <w:p>
      <w:pPr>
        <w:pStyle w:val="0"/>
        <w:spacing w:before="240" w:line-rule="auto"/>
        <w:ind w:firstLine="540"/>
        <w:jc w:val="both"/>
      </w:pPr>
      <w:r>
        <w:rPr>
          <w:sz w:val="24"/>
        </w:rPr>
        <w:t xml:space="preserve">в) у получателя субсидии отсутствует просроченная (неурегулированная) задолженность по денежным обязательствам перед соответствующим субъектом Российской Федерации, из бюджета которого планируется предоставление субсидии, бюджетных инвестиций (за исключением случаев, установленных органом государственной власти субъекта Российской Федерации);</w:t>
      </w:r>
    </w:p>
    <w:p>
      <w:pPr>
        <w:pStyle w:val="0"/>
        <w:spacing w:before="240" w:line-rule="auto"/>
        <w:ind w:firstLine="540"/>
        <w:jc w:val="both"/>
      </w:pPr>
      <w:r>
        <w:rPr>
          <w:sz w:val="24"/>
        </w:rPr>
        <w:t xml:space="preserve">г) получатель субсидии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д) получатель субсидии является стороной соглашения о защите и поощрении капиталовложений;</w:t>
      </w:r>
    </w:p>
    <w:p>
      <w:pPr>
        <w:pStyle w:val="0"/>
        <w:spacing w:before="240" w:line-rule="auto"/>
        <w:ind w:firstLine="540"/>
        <w:jc w:val="both"/>
      </w:pPr>
      <w:r>
        <w:rPr>
          <w:sz w:val="24"/>
        </w:rPr>
        <w:t xml:space="preserve">е)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pPr>
        <w:pStyle w:val="0"/>
        <w:jc w:val="both"/>
      </w:pPr>
      <w:r>
        <w:rPr>
          <w:sz w:val="24"/>
        </w:rPr>
        <w:t xml:space="preserve">(п. 8(2)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9. Субсидия предоставляется на основании соглашения о предоставлении субсидии в соответствии с </w:t>
      </w:r>
      <w:r>
        <w:rPr>
          <w:sz w:val="24"/>
        </w:rPr>
        <w:t xml:space="preserve">типовой формой</w:t>
      </w:r>
      <w:r>
        <w:rPr>
          <w:sz w:val="24"/>
        </w:rPr>
        <w:t xml:space="preserve">, установленной Министерством финансов Российской Федерации (далее - соглашение о предоставлении субсидии), которое может содержать дополнительные условия в соответствии с настоящими Правилами и (или) законодательством Российской Федерации.</w:t>
      </w:r>
    </w:p>
    <w:p>
      <w:pPr>
        <w:pStyle w:val="0"/>
        <w:spacing w:before="240" w:line-rule="auto"/>
        <w:ind w:firstLine="540"/>
        <w:jc w:val="both"/>
      </w:pPr>
      <w:r>
        <w:rPr>
          <w:sz w:val="24"/>
        </w:rPr>
        <w:t xml:space="preserve">Соглашение о предоставлении субсидии может заключаться в пределах сроков возмещения затрат, установленных </w:t>
      </w:r>
      <w:r>
        <w:rPr>
          <w:sz w:val="24"/>
        </w:rPr>
        <w:t xml:space="preserve">частями 6</w:t>
      </w:r>
      <w:r>
        <w:rPr>
          <w:sz w:val="24"/>
        </w:rPr>
        <w:t xml:space="preserve"> - </w:t>
      </w:r>
      <w:r>
        <w:rPr>
          <w:sz w:val="24"/>
        </w:rPr>
        <w:t xml:space="preserve">8 статьи 15</w:t>
      </w:r>
      <w:r>
        <w:rPr>
          <w:sz w:val="24"/>
        </w:rPr>
        <w:t xml:space="preserve"> Федерального закона.</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10. Возмещение затрат в соответствии с настоящими Правилами может осуществляться при реализации проектов, соответствующих условиям, установленным </w:t>
      </w:r>
      <w:r>
        <w:rPr>
          <w:sz w:val="24"/>
        </w:rPr>
        <w:t xml:space="preserve">пунктом 6 части 1 статьи 2</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10(1). Предельный срок, в течение которого возмещаются затраты, указанные в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пункте 4</w:t>
        </w:r>
      </w:hyperlink>
      <w:r>
        <w:rPr>
          <w:sz w:val="24"/>
        </w:rPr>
        <w:t xml:space="preserve"> настоящих Правил, определяется в соответствии с </w:t>
      </w:r>
      <w:r>
        <w:rPr>
          <w:sz w:val="24"/>
        </w:rPr>
        <w:t xml:space="preserve">частями 6</w:t>
      </w:r>
      <w:r>
        <w:rPr>
          <w:sz w:val="24"/>
        </w:rPr>
        <w:t xml:space="preserve"> - </w:t>
      </w:r>
      <w:r>
        <w:rPr>
          <w:sz w:val="24"/>
        </w:rPr>
        <w:t xml:space="preserve">8.1 статьи 15</w:t>
      </w:r>
      <w:r>
        <w:rPr>
          <w:sz w:val="24"/>
        </w:rPr>
        <w:t xml:space="preserve"> Федерального закона.</w:t>
      </w:r>
    </w:p>
    <w:p>
      <w:pPr>
        <w:pStyle w:val="0"/>
        <w:jc w:val="both"/>
      </w:pPr>
      <w:r>
        <w:rPr>
          <w:sz w:val="24"/>
        </w:rPr>
        <w:t xml:space="preserve">(п. 10(1)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11. Взаимодействие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 осуществляется в порядке, установленном </w:t>
      </w:r>
      <w:hyperlink w:history="0" w:anchor="P398" w:tooltip="27. Министерство экономического развития Российской Федерации путем направления запросов в заинтересованные органы власти и организации осуществляет:">
        <w:r>
          <w:rPr>
            <w:sz w:val="24"/>
            <w:color w:val="0000ff"/>
          </w:rPr>
          <w:t xml:space="preserve">пунктами 27</w:t>
        </w:r>
      </w:hyperlink>
      <w:r>
        <w:rPr>
          <w:sz w:val="24"/>
        </w:rPr>
        <w:t xml:space="preserve"> и </w:t>
      </w:r>
      <w:hyperlink w:history="0" w:anchor="P418" w:tooltip="27(1). Министерство экономического развития Российской Федерации в случае соответствия представленных документов перечню документов, указанных в пункте 26 настоящих Правил, в течение 5 рабочих дней после дня осуществления в соответствии с абзацем первым пункта 26(2) настоящих Правил проверки заявления и документов, представленных организацией, реализующей проект, подготавливает запросы, указанные в пункте 27 настоящих Правил, а также передает такие заявление и документы в уполномоченную организацию и Фед...">
        <w:r>
          <w:rPr>
            <w:sz w:val="24"/>
            <w:color w:val="0000ff"/>
          </w:rPr>
          <w:t xml:space="preserve">27(1)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rPr>
        <w:t xml:space="preserve">абзацы третий - четвертый утратили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Министерство экономического развития Российской Федерации ежегодно, до 30 апреля, обобщает информацию об общем размере затрат, фактически возмещенных организациям, реализующим проект, за счет средств федерального бюджета, бюджетов субъектов Российской Федерации и местных бюджетов по проектам.</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jc w:val="both"/>
      </w:pPr>
      <w:r>
        <w:rPr>
          <w:sz w:val="24"/>
        </w:rPr>
      </w:r>
    </w:p>
    <w:p>
      <w:pPr>
        <w:pStyle w:val="2"/>
        <w:outlineLvl w:val="1"/>
        <w:jc w:val="center"/>
      </w:pPr>
      <w:r>
        <w:rPr>
          <w:sz w:val="24"/>
        </w:rPr>
        <w:t xml:space="preserve">II. Определение объема возмещения затрат</w:t>
      </w:r>
    </w:p>
    <w:p>
      <w:pPr>
        <w:pStyle w:val="0"/>
        <w:jc w:val="both"/>
      </w:pPr>
      <w:r>
        <w:rPr>
          <w:sz w:val="24"/>
        </w:rPr>
      </w:r>
    </w:p>
    <w:bookmarkStart w:id="193" w:name="P193"/>
    <w:bookmarkEnd w:id="193"/>
    <w:p>
      <w:pPr>
        <w:pStyle w:val="0"/>
        <w:ind w:firstLine="540"/>
        <w:jc w:val="both"/>
      </w:pPr>
      <w:r>
        <w:rPr>
          <w:sz w:val="24"/>
        </w:rPr>
        <w:t xml:space="preserve">12.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w:t>
      </w:r>
    </w:p>
    <w:bookmarkStart w:id="194" w:name="P194"/>
    <w:bookmarkEnd w:id="194"/>
    <w:p>
      <w:pPr>
        <w:pStyle w:val="0"/>
        <w:spacing w:before="240" w:line-rule="auto"/>
        <w:ind w:firstLine="540"/>
        <w:jc w:val="both"/>
      </w:pPr>
      <w:r>
        <w:rPr>
          <w:sz w:val="24"/>
        </w:rPr>
        <w:t xml:space="preserve">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основного объекта проекта (основных объектов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196" w:name="P196"/>
    <w:bookmarkEnd w:id="196"/>
    <w:p>
      <w:pPr>
        <w:pStyle w:val="0"/>
        <w:spacing w:before="240" w:line-rule="auto"/>
        <w:ind w:firstLine="540"/>
        <w:jc w:val="both"/>
      </w:pPr>
      <w:r>
        <w:rPr>
          <w:sz w:val="24"/>
        </w:rP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w:t>
      </w:r>
      <w:hyperlink w:history="0" w:anchor="P194" w:tooltip="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сновного объекта проекта (основных объектов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
        <w:r>
          <w:rPr>
            <w:sz w:val="24"/>
            <w:color w:val="0000ff"/>
          </w:rPr>
          <w:t xml:space="preserve">абзаце втором</w:t>
        </w:r>
      </w:hyperlink>
      <w:r>
        <w:rPr>
          <w:sz w:val="24"/>
        </w:rPr>
        <w:t xml:space="preserve">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w:t>
      </w:r>
      <w:r>
        <w:rPr>
          <w:sz w:val="24"/>
        </w:rPr>
        <w:t xml:space="preserve">пункта 13 части 1 статьи 2</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Перечень</w:t>
      </w:r>
      <w:r>
        <w:rPr>
          <w:sz w:val="24"/>
        </w:rPr>
        <w:t xml:space="preserve"> объектов инфраструктуры, в отношении которых может быть предоставлена мера государственной поддержки, указанная в </w:t>
      </w:r>
      <w:r>
        <w:rPr>
          <w:sz w:val="24"/>
        </w:rPr>
        <w:t xml:space="preserve">части 1 статьи 15</w:t>
      </w:r>
      <w:r>
        <w:rPr>
          <w:sz w:val="24"/>
        </w:rPr>
        <w:t xml:space="preserve"> Федерального закона, </w:t>
      </w:r>
      <w:r>
        <w:rPr>
          <w:sz w:val="24"/>
        </w:rPr>
        <w:t xml:space="preserve">параметры</w:t>
      </w:r>
      <w:r>
        <w:rPr>
          <w:sz w:val="24"/>
        </w:rPr>
        <w:t xml:space="preserve"> свободной мощности, указанные в </w:t>
      </w:r>
      <w:hyperlink w:history="0" w:anchor="P196" w:tooltip="К сопутствующей инфраструктуре относятся объекты инфраструктуры, целью использования и эксплуатации которых является не только цель, указанная в абзаце втором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
        <w:r>
          <w:rPr>
            <w:sz w:val="24"/>
            <w:color w:val="0000ff"/>
          </w:rPr>
          <w:t xml:space="preserve">абзаце третьем</w:t>
        </w:r>
      </w:hyperlink>
      <w:r>
        <w:rPr>
          <w:sz w:val="24"/>
        </w:rPr>
        <w:t xml:space="preserve"> настоящего пункта, утверждаются Министерством экономического развития Российской Федерации по согласованию с заинтересованными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сферах экономики.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13. Критериями соответствия объектов инфраструктуры потребностям проекта являются:</w:t>
      </w:r>
    </w:p>
    <w:bookmarkStart w:id="201" w:name="P201"/>
    <w:bookmarkEnd w:id="201"/>
    <w:p>
      <w:pPr>
        <w:pStyle w:val="0"/>
        <w:spacing w:before="240" w:line-rule="auto"/>
        <w:ind w:firstLine="540"/>
        <w:jc w:val="both"/>
      </w:pPr>
      <w:r>
        <w:rPr>
          <w:sz w:val="24"/>
        </w:rPr>
        <w:t xml:space="preserve">объект инфраструктуры создается полностью или частично для эксплуатации (использования) основного объекта проекта (основных объектов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203" w:name="P203"/>
    <w:bookmarkEnd w:id="203"/>
    <w:p>
      <w:pPr>
        <w:pStyle w:val="0"/>
        <w:spacing w:before="240" w:line-rule="auto"/>
        <w:ind w:firstLine="540"/>
        <w:jc w:val="both"/>
      </w:pPr>
      <w:r>
        <w:rPr>
          <w:sz w:val="24"/>
        </w:rPr>
        <w:t xml:space="preserve">достижение заявленных показателей проекта невозможно без использования объекта инфраструктуры;</w:t>
      </w:r>
    </w:p>
    <w:p>
      <w:pPr>
        <w:pStyle w:val="0"/>
        <w:spacing w:before="240" w:line-rule="auto"/>
        <w:ind w:firstLine="540"/>
        <w:jc w:val="both"/>
      </w:pPr>
      <w:r>
        <w:rPr>
          <w:sz w:val="24"/>
        </w:rPr>
        <w:t xml:space="preserve">объект инфраструктуры используется работниками организации, реализующей проект, работниками органа (организации), эксплуатирующей (использующей) основной объект проекта (основные объекты проекта), и (или) членами их семей (в отношении социальной инфраструктуры).</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При подтверждении соответствия объекта инфраструктуры потребностям проекта такой объект инфраструктуры должен соответствовать одному из критериев, установленных </w:t>
      </w:r>
      <w:hyperlink w:history="0" w:anchor="P201" w:tooltip="объект инфраструктуры создается полностью или частично для эксплуатации (использования) основного объекта проекта (основных объектов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
        <w:r>
          <w:rPr>
            <w:sz w:val="24"/>
            <w:color w:val="0000ff"/>
          </w:rPr>
          <w:t xml:space="preserve">абзацами вторым</w:t>
        </w:r>
      </w:hyperlink>
      <w:r>
        <w:rPr>
          <w:sz w:val="24"/>
        </w:rPr>
        <w:t xml:space="preserve"> и </w:t>
      </w:r>
      <w:hyperlink w:history="0" w:anchor="P203" w:tooltip="достижение заявленных показателей проекта невозможно без использования объекта инфраструктуры;">
        <w:r>
          <w:rPr>
            <w:sz w:val="24"/>
            <w:color w:val="0000ff"/>
          </w:rPr>
          <w:t xml:space="preserve">третьим</w:t>
        </w:r>
      </w:hyperlink>
      <w:r>
        <w:rPr>
          <w:sz w:val="24"/>
        </w:rPr>
        <w:t xml:space="preserve"> настоящего пункта. При подтверждении соответствия объекта социальной инфраструктуры потребностям проекта критерии, установленные </w:t>
      </w:r>
      <w:hyperlink w:history="0" w:anchor="P201" w:tooltip="объект инфраструктуры создается полностью или частично для эксплуатации (использования) основного объекта проекта (основных объектов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
        <w:r>
          <w:rPr>
            <w:sz w:val="24"/>
            <w:color w:val="0000ff"/>
          </w:rPr>
          <w:t xml:space="preserve">абзацами вторым</w:t>
        </w:r>
      </w:hyperlink>
      <w:r>
        <w:rPr>
          <w:sz w:val="24"/>
        </w:rPr>
        <w:t xml:space="preserve"> и </w:t>
      </w:r>
      <w:hyperlink w:history="0" w:anchor="P203" w:tooltip="достижение заявленных показателей проекта невозможно без использования объекта инфраструктуры;">
        <w:r>
          <w:rPr>
            <w:sz w:val="24"/>
            <w:color w:val="0000ff"/>
          </w:rPr>
          <w:t xml:space="preserve">третьим</w:t>
        </w:r>
      </w:hyperlink>
      <w:r>
        <w:rPr>
          <w:sz w:val="24"/>
        </w:rPr>
        <w:t xml:space="preserve"> настоящего пункта, могут не применяться.</w:t>
      </w:r>
    </w:p>
    <w:p>
      <w:pPr>
        <w:pStyle w:val="0"/>
        <w:spacing w:before="240" w:line-rule="auto"/>
        <w:ind w:firstLine="540"/>
        <w:jc w:val="both"/>
      </w:pPr>
      <w:r>
        <w:rPr>
          <w:sz w:val="24"/>
        </w:rPr>
        <w:t xml:space="preserve">14. Возмещение затрат в отношении объектов сопутствующей инфраструктуры осуществляется при условии наличия в договоре (соглашении), указанном в </w:t>
      </w:r>
      <w:hyperlink w:history="0" w:anchor="P239" w:tooltip="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и Правилами,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
        <w:r>
          <w:rPr>
            <w:sz w:val="24"/>
            <w:color w:val="0000ff"/>
          </w:rPr>
          <w:t xml:space="preserve">абзаце втором пункта 20</w:t>
        </w:r>
      </w:hyperlink>
      <w:r>
        <w:rPr>
          <w:sz w:val="24"/>
        </w:rPr>
        <w:t xml:space="preserve"> настоящих Правил,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реконструкции подлежали объекты сопутствующей инфраструктуры, находящиеся в государственной (муниципальной) собственности.</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05.12.2022 N 2232.</w:t>
      </w:r>
    </w:p>
    <w:bookmarkStart w:id="210" w:name="P210"/>
    <w:bookmarkEnd w:id="210"/>
    <w:p>
      <w:pPr>
        <w:pStyle w:val="0"/>
        <w:spacing w:before="240" w:line-rule="auto"/>
        <w:ind w:firstLine="540"/>
        <w:jc w:val="both"/>
      </w:pPr>
      <w:r>
        <w:rPr>
          <w:sz w:val="24"/>
        </w:rPr>
        <w:t xml:space="preserve">Возмещение затрат на цели, предусмотренные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pPr>
        <w:pStyle w:val="0"/>
        <w:spacing w:before="240" w:line-rule="auto"/>
        <w:ind w:firstLine="540"/>
        <w:jc w:val="both"/>
      </w:pPr>
      <w:r>
        <w:rPr>
          <w:sz w:val="24"/>
        </w:rPr>
        <w:t xml:space="preserve">14(1). При возмещении затрат на цели, предусмотренные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 учитываются расходы, произведенные не ранее даты принятия организацией, реализующей проект, решения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(п. 14(1)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15. Настоящими Правилами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pPr>
        <w:pStyle w:val="0"/>
        <w:spacing w:before="240" w:line-rule="auto"/>
        <w:ind w:firstLine="540"/>
        <w:jc w:val="both"/>
      </w:pPr>
      <w:r>
        <w:rPr>
          <w:sz w:val="24"/>
        </w:rPr>
        <w:t xml:space="preserve">16. В отношении создания объектов инфраструктуры,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строительстве (реконструкции) объектов инфраструктуры, включенные в сметную документацию в соответствии с </w:t>
      </w:r>
      <w:r>
        <w:rPr>
          <w:sz w:val="24"/>
        </w:rPr>
        <w:t xml:space="preserve">Положением</w:t>
      </w:r>
      <w:r>
        <w:rPr>
          <w:sz w:val="24"/>
        </w:rP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 градостроительным законодательством Российской Федерации (в том числе на технологическое присоединение к сетям инженерно-технического обеспечения),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кредитам и займам, купонного дохода по облигационным займам.</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17.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pPr>
        <w:pStyle w:val="0"/>
        <w:spacing w:before="240" w:line-rule="auto"/>
        <w:ind w:firstLine="540"/>
        <w:jc w:val="both"/>
      </w:pPr>
      <w:r>
        <w:rPr>
          <w:sz w:val="24"/>
        </w:rPr>
        <w:t xml:space="preserve">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pPr>
        <w:pStyle w:val="0"/>
        <w:spacing w:before="240" w:line-rule="auto"/>
        <w:ind w:firstLine="540"/>
        <w:jc w:val="both"/>
      </w:pPr>
      <w:r>
        <w:rPr>
          <w:sz w:val="24"/>
        </w:rPr>
        <w:t xml:space="preserve">18. Субсидия предоставляется на возмещение затрат, факт осуществления которых документально подтвержден, в том числе первичными учетными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проектной документации и проверки достоверности определения сметной стоимости основного объекта проекта (основных объектов проекта), и (или) объектов инфраструктуры, и (или) демонтажа объектов, расположенных на территориях военных городков (в части жилищного строительства) (в случае если отношения по созданию таких объектов регулируются законодательством о градостроительной деятельности), и при условии наличия положительного заключения 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которых планируется возместить в соответствии с </w:t>
      </w:r>
      <w:r>
        <w:rPr>
          <w:sz w:val="24"/>
        </w:rPr>
        <w:t xml:space="preserve">пунктами 1</w:t>
      </w:r>
      <w:r>
        <w:rPr>
          <w:sz w:val="24"/>
        </w:rPr>
        <w:t xml:space="preserve"> - </w:t>
      </w:r>
      <w:r>
        <w:rPr>
          <w:sz w:val="24"/>
        </w:rPr>
        <w:t xml:space="preserve">3 части 1 статьи 15</w:t>
      </w:r>
      <w:r>
        <w:rPr>
          <w:sz w:val="24"/>
        </w:rPr>
        <w:t xml:space="preserve"> Федерального закона (далее - технологический аудит), порядок выдачи которого установлен согласно </w:t>
      </w:r>
      <w:hyperlink w:history="0" w:anchor="P526" w:tooltip="ПРАВИЛА">
        <w:r>
          <w:rPr>
            <w:sz w:val="24"/>
            <w:color w:val="0000ff"/>
          </w:rPr>
          <w:t xml:space="preserve">приложению N 1(1)</w:t>
        </w:r>
      </w:hyperlink>
      <w:r>
        <w:rPr>
          <w:sz w:val="24"/>
        </w:rPr>
        <w:t xml:space="preserve">, а также заключения федерального органа исполнительной власти, осуществляющего функции по контролю и надзору в области налогов и сборов, указанного в </w:t>
      </w:r>
      <w:r>
        <w:rPr>
          <w:sz w:val="24"/>
        </w:rPr>
        <w:t xml:space="preserve">пункте 7.1 части 9 статьи 15</w:t>
      </w:r>
      <w:r>
        <w:rPr>
          <w:sz w:val="24"/>
        </w:rPr>
        <w:t xml:space="preserve"> Федерального закона.</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 от 27.10.2025 </w:t>
      </w:r>
      <w:r>
        <w:rPr>
          <w:sz w:val="24"/>
        </w:rPr>
        <w:t xml:space="preserve">N 1664</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2 - 3 п. 18 </w:t>
            </w:r>
            <w:hyperlink w:history="0" w:anchor="P35" w:tooltip="6. Настоящее постановление вступает в силу со дня его официального опубликования, за исключением абзацев второго - шестого пункта 18 Правил и пункта 8 общих требований, которые вступают в силу со дня ввода в эксплуатацию государственной информационной системы &quot;Капиталовложения&quot; (вторая очередь).">
              <w:r>
                <w:rPr>
                  <w:sz w:val="24"/>
                  <w:color w:val="0000ff"/>
                </w:rPr>
                <w:t xml:space="preserve">вступают</w:t>
              </w:r>
            </w:hyperlink>
            <w:r>
              <w:rPr>
                <w:sz w:val="24"/>
                <w:color w:val="392c69"/>
              </w:rPr>
              <w:t xml:space="preserve"> в силу со дня ввода в эксплуатацию ГИС "Капиталовложения" (вторая очередь).</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 w:name="P222"/>
    <w:bookmarkEnd w:id="222"/>
    <w:p>
      <w:pPr>
        <w:pStyle w:val="0"/>
        <w:spacing w:before="300" w:line-rule="auto"/>
        <w:ind w:firstLine="540"/>
        <w:jc w:val="both"/>
      </w:pPr>
      <w:r>
        <w:rPr>
          <w:sz w:val="24"/>
        </w:rPr>
        <w:t xml:space="preserve">Прогнозируемые объемы налогов и иных обязательных платежей, подлежащих уплате в бюджеты бюджетной системы Российской Федерации в связи с реализацией проекта, и объем исчисленных к уплате и уплаченных налогов (по каждому налогу (сбору) и иных обязательных платежей в связи с реализацией проекта отражаются в системе "Капиталовложения".</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федерального бюджета на соответствующий финансовый год и плановый период и определении объема государственной поддержки, предоставляемого на цели, указанные в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пункте 4</w:t>
        </w:r>
      </w:hyperlink>
      <w:r>
        <w:rPr>
          <w:sz w:val="24"/>
        </w:rPr>
        <w:t xml:space="preserve"> настоящих Правил. Прогноз объемов планируемых к уплате налогов и иных обязательных платежей, связанных с реализацией проектов, подлежит ежегодной корректировке на основании данных, представляемых организациями, реализующими проекты, сформированных с учетом фактической динамики платежей за предыдущие периоды, с введением скорректированных данных в систему "Капиталовложения".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4 - 5 п. 18 </w:t>
            </w:r>
            <w:hyperlink w:history="0" w:anchor="P35" w:tooltip="6. Настоящее постановление вступает в силу со дня его официального опубликования, за исключением абзацев второго - шестого пункта 18 Правил и пункта 8 общих требований, которые вступают в силу со дня ввода в эксплуатацию государственной информационной системы &quot;Капиталовложения&quot; (вторая очередь).">
              <w:r>
                <w:rPr>
                  <w:sz w:val="24"/>
                  <w:color w:val="0000ff"/>
                </w:rPr>
                <w:t xml:space="preserve">вступают</w:t>
              </w:r>
            </w:hyperlink>
            <w:r>
              <w:rPr>
                <w:sz w:val="24"/>
                <w:color w:val="392c69"/>
              </w:rPr>
              <w:t xml:space="preserve"> в силу со дня ввода в эксплуатацию ГИС "Капиталовложения" (вторая очередь).</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300" w:line-rule="auto"/>
        <w:ind w:firstLine="540"/>
        <w:jc w:val="both"/>
      </w:pPr>
      <w:r>
        <w:rPr>
          <w:sz w:val="24"/>
        </w:rPr>
        <w:t xml:space="preserve">Федеральная налоговая служба передает в систему "Капиталовложения" с использованием единой системы межведомственного электронного взаимодействия сведения о суммах налога на прибыль организаций, налога на имущество организаций,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проекта, в соответствующем отчетном периоде в течение 10 рабочих дней с даты поступления указанной информации (налоговых деклараций), также в течение указанного срока передаче в систему "Капиталовложения" подлежат сведения о корректировках и уточнениях налоговых деклараций.</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bookmarkStart w:id="229" w:name="P229"/>
    <w:bookmarkEnd w:id="229"/>
    <w:p>
      <w:pPr>
        <w:pStyle w:val="0"/>
        <w:spacing w:before="240" w:line-rule="auto"/>
        <w:ind w:firstLine="540"/>
        <w:jc w:val="both"/>
      </w:pPr>
      <w:r>
        <w:rPr>
          <w:sz w:val="24"/>
        </w:rPr>
        <w:t xml:space="preserve">Федеральная таможенная служба передает в систему "Капиталовложения" с использованием единой системы межведомственного электронного взаимодействия сведения о суммах ввозных таможенных пошлин, исчисленных к уплате в связи с реализацией проектов, в течение 10 рабочих дней с даты поступления указанной информации (таможенных деклараций), также в течение указанного срока передаче в систему "Капиталовложения" подлежат сведения об уточнениях и корректировках таможенных деклараций.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п. 18 </w:t>
            </w:r>
            <w:hyperlink w:history="0" w:anchor="P35" w:tooltip="6. Настоящее постановление вступает в силу со дня его официального опубликования, за исключением абзацев второго - шестого пункта 18 Правил и пункта 8 общих требований, которые вступают в силу со дня ввода в эксплуатацию государственной информационной системы &quot;Капиталовложения&quot; (вторая очередь).">
              <w:r>
                <w:rPr>
                  <w:sz w:val="24"/>
                  <w:color w:val="0000ff"/>
                </w:rPr>
                <w:t xml:space="preserve">вступает</w:t>
              </w:r>
            </w:hyperlink>
            <w:r>
              <w:rPr>
                <w:sz w:val="24"/>
                <w:color w:val="392c69"/>
              </w:rPr>
              <w:t xml:space="preserve"> в силу со дня ввода в эксплуатацию ГИС "Капиталовложения" (вторая очередь).</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 w:name="P232"/>
    <w:bookmarkEnd w:id="232"/>
    <w:p>
      <w:pPr>
        <w:pStyle w:val="0"/>
        <w:spacing w:before="300" w:line-rule="auto"/>
        <w:ind w:firstLine="540"/>
        <w:jc w:val="both"/>
      </w:pPr>
      <w:r>
        <w:rPr>
          <w:sz w:val="24"/>
        </w:rPr>
        <w:t xml:space="preserve">По итогам прошедшего финансового года не позднее 30 апреля текущего финансового года Федеральная налоговая служба и Федеральная таможенная служба передают в систему "Капиталовложения" сведения о годовом объеме уплаченных в связи с реализацией проекта налогов и сборов, указанных в </w:t>
      </w:r>
      <w:hyperlink w:history="0" w:anchor="P227" w:tooltip="Федеральная налоговая служба передает в систему &quot;Капиталовложения&quot; с использованием единой системы межведомственного электронного взаимодействия сведения о суммах налога на прибыль организаций, налога на имущество организаций,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проекта, в соответствующем отчетном периоде в течение 10 рабочих дней с даты поступления у...">
        <w:r>
          <w:rPr>
            <w:sz w:val="24"/>
            <w:color w:val="0000ff"/>
          </w:rPr>
          <w:t xml:space="preserve">абзацах четвертом</w:t>
        </w:r>
      </w:hyperlink>
      <w:r>
        <w:rPr>
          <w:sz w:val="24"/>
        </w:rPr>
        <w:t xml:space="preserve"> и </w:t>
      </w:r>
      <w:hyperlink w:history="0" w:anchor="P229" w:tooltip="Федеральная таможенная служба передает в систему &quot;Капиталовложения&quot; с использованием единой системы межведомственного электронного взаимодействия сведения о суммах ввозных таможенных пошлин, исчисленных к уплате в связи с реализацией проектов, в течение 10 рабочих дней с даты поступления указанной информации (таможенных деклараций), также в течение указанного срока передаче в систему &quot;Капиталовложения&quot; подлежат сведения об уточнениях и корректировках таможенных деклараций.">
        <w:r>
          <w:rPr>
            <w:sz w:val="24"/>
            <w:color w:val="0000ff"/>
          </w:rPr>
          <w:t xml:space="preserve">пятом</w:t>
        </w:r>
      </w:hyperlink>
      <w:r>
        <w:rPr>
          <w:sz w:val="24"/>
        </w:rPr>
        <w:t xml:space="preserve"> настоящего пункта (по каждому налогу (сбору), которые являются основанием для сверки сумм затрат, подлежащих возмещению. При этом учитываются величина недоимки, задолженности по пеням и штрафам по каждому налогу (сбору) по состоянию на 1-е число месяца, в котором указанные сведения передаются в систему "Капиталовложения".</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19.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19(1). Период осуществления организацией, реализующей проект, расходов на содержание созданных в результате осуществления капитальных вложений объектов инфраструктуры определяется в соответствии с положениями законодательства Российской Федерации, предусматривающими несение бремени содержания соответствующего имущества.</w:t>
      </w:r>
    </w:p>
    <w:p>
      <w:pPr>
        <w:pStyle w:val="0"/>
        <w:jc w:val="both"/>
      </w:pPr>
      <w:r>
        <w:rPr>
          <w:sz w:val="24"/>
        </w:rPr>
        <w:t xml:space="preserve">(п. 19(1)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20.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bookmarkStart w:id="239" w:name="P239"/>
    <w:bookmarkEnd w:id="239"/>
    <w:p>
      <w:pPr>
        <w:pStyle w:val="0"/>
        <w:spacing w:before="240" w:line-rule="auto"/>
        <w:ind w:firstLine="540"/>
        <w:jc w:val="both"/>
      </w:pPr>
      <w:r>
        <w:rPr>
          <w:sz w:val="24"/>
        </w:rPr>
        <w:t xml:space="preserve">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настоящими Правилами,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pPr>
        <w:pStyle w:val="0"/>
        <w:spacing w:before="240" w:line-rule="auto"/>
        <w:ind w:firstLine="540"/>
        <w:jc w:val="both"/>
      </w:pPr>
      <w:r>
        <w:rPr>
          <w:sz w:val="24"/>
        </w:rPr>
        <w:t xml:space="preserve">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0"/>
        <w:spacing w:before="240" w:line-rule="auto"/>
        <w:ind w:firstLine="540"/>
        <w:jc w:val="both"/>
      </w:pPr>
      <w:r>
        <w:rPr>
          <w:sz w:val="24"/>
        </w:rPr>
        <w:t xml:space="preserve">21. Возмещение затрат, указанных в </w:t>
      </w:r>
      <w:hyperlink w:history="0" w:anchor="P138" w:tooltip="на уплату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
        <w:r>
          <w:rPr>
            <w:sz w:val="24"/>
            <w:color w:val="0000ff"/>
          </w:rPr>
          <w:t xml:space="preserve">абзацах третьем</w:t>
        </w:r>
      </w:hyperlink>
      <w:r>
        <w:rPr>
          <w:sz w:val="24"/>
        </w:rPr>
        <w:t xml:space="preserve"> и </w:t>
      </w:r>
      <w:hyperlink w:history="0" w:anchor="P140" w:tooltip="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четвертом пункта 4</w:t>
        </w:r>
      </w:hyperlink>
      <w:r>
        <w:rPr>
          <w:sz w:val="24"/>
        </w:rPr>
        <w:t xml:space="preserve"> настоящих Правил, осуществляется в отношении затрат на уплату процентов по кредитам и займам, в том числе синдицированным, предоставленным кредитными организациями, государственной корпорацией развития "ВЭБ.РФ", иными российскими юридическими лицами, которые могут выступать займодавцем по договору синдицированного займа в соответствии с Федеральным </w:t>
      </w:r>
      <w:r>
        <w:rPr>
          <w:sz w:val="24"/>
        </w:rPr>
        <w:t xml:space="preserve">законом</w:t>
      </w:r>
      <w:r>
        <w:rPr>
          <w:sz w:val="24"/>
        </w:rPr>
        <w:t xml:space="preserve"> "О синдицированном кредите (займе) и внесении изменений в отдельные законодательные акты Российской Федерации", а также в отношении затрат на уплату купонного дохода по облигационным займам.</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243" w:name="P243"/>
    <w:bookmarkEnd w:id="243"/>
    <w:p>
      <w:pPr>
        <w:pStyle w:val="0"/>
        <w:spacing w:before="240" w:line-rule="auto"/>
        <w:ind w:firstLine="540"/>
        <w:jc w:val="both"/>
      </w:pPr>
      <w:r>
        <w:rPr>
          <w:sz w:val="24"/>
        </w:rPr>
        <w:t xml:space="preserve">Цель кредита и займа в соответствии с кредитным договором и договором займа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основного объекта проекта (основных объектов проекта). Сумма кредита, сумма займа или сумма облигационного займа не может превышать предполагаемую (предельную) стоимость создания объекта инфраструктуры и (или) создания основного объекта проекта (основных объектов проекта), подтвержденную положительным заключением о проведении государственной экспертизы проектной документации такого объекта и проверки достоверности определения его сметной стоимости, по объектам, отношения по созданию которых регулируются законодательством о градостроительной деятельности.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245" w:name="P245"/>
    <w:bookmarkEnd w:id="245"/>
    <w:p>
      <w:pPr>
        <w:pStyle w:val="0"/>
        <w:spacing w:before="240" w:line-rule="auto"/>
        <w:ind w:firstLine="540"/>
        <w:jc w:val="both"/>
      </w:pPr>
      <w:r>
        <w:rPr>
          <w:sz w:val="24"/>
        </w:rPr>
        <w:t xml:space="preserve">Возмещение затрат на уплату процентов по кредитам и займам, купонного дохода по облигационным займам осуществляется в случае, если денежные средства предоставлены по кредитному договору, договору займа, в том числе облигационного займа, в целях:</w:t>
      </w:r>
    </w:p>
    <w:p>
      <w:pPr>
        <w:pStyle w:val="0"/>
        <w:spacing w:before="240" w:line-rule="auto"/>
        <w:ind w:firstLine="540"/>
        <w:jc w:val="both"/>
      </w:pPr>
      <w:r>
        <w:rPr>
          <w:sz w:val="24"/>
        </w:rPr>
        <w:t xml:space="preserve">реализации проекта в части создания основного объекта проекта (основных объектов проекта). При этом в указанном в </w:t>
      </w:r>
      <w:hyperlink w:history="0" w:anchor="P245" w:tooltip="Возмещение затрат на уплату процентов по кредитам и займам, купонного дохода по облигационным займам осуществляется в случае, если денежные средства предоставлены по кредитному договору, договору займа, в том числе облигационного займа, в целях:">
        <w:r>
          <w:rPr>
            <w:sz w:val="24"/>
            <w:color w:val="0000ff"/>
          </w:rPr>
          <w:t xml:space="preserve">абзаце третьем</w:t>
        </w:r>
      </w:hyperlink>
      <w:r>
        <w:rPr>
          <w:sz w:val="24"/>
        </w:rPr>
        <w:t xml:space="preserve"> настоящего пункта кредитном договоре, договоре займа, в том числе облигационного займа, предусматривается предоставление средств кредита, займа или облигационного займа на цели, указанные в </w:t>
      </w:r>
      <w:hyperlink w:history="0" w:anchor="P243" w:tooltip="Цель кредита и займа в соответствии с кредитным договором и договором займа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основного объекта проекта (основных объектов проекта). Сумма кредита, сумма займа или сумма облигационного займа не может превышать предполагаемую (предельную) стоимость создания объекта инфраструктуры и (или) создания основного объекта проекта (основных объектов проекта), под...">
        <w:r>
          <w:rPr>
            <w:sz w:val="24"/>
            <w:color w:val="0000ff"/>
          </w:rPr>
          <w:t xml:space="preserve">абзаце втором</w:t>
        </w:r>
      </w:hyperlink>
      <w:r>
        <w:rPr>
          <w:sz w:val="24"/>
        </w:rPr>
        <w:t xml:space="preserve"> настоящего пункта, в рамках отдельной кредитной линии (транша) и (или) порядок подтверждения целевого использования организацией, реализующей проект, средств кредита, займа или облигационного займа;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создания объекта инфраструктуры, необходимого для реализации проекта, в том числе реконструкции объекта инфраструктуры, находящегося в государственной (муниципальной) собственности.</w:t>
      </w:r>
    </w:p>
    <w:p>
      <w:pPr>
        <w:pStyle w:val="0"/>
        <w:jc w:val="both"/>
      </w:pPr>
      <w:r>
        <w:rPr>
          <w:sz w:val="24"/>
        </w:rPr>
        <w:t xml:space="preserve">(п. 21 в ред. </w:t>
      </w:r>
      <w:r>
        <w:rPr>
          <w:sz w:val="24"/>
        </w:rPr>
        <w:t xml:space="preserve">Постановления</w:t>
      </w:r>
      <w:r>
        <w:rPr>
          <w:sz w:val="24"/>
        </w:rPr>
        <w:t xml:space="preserve"> Правительства РФ от 14.12.2024 N 1789)</w:t>
      </w:r>
    </w:p>
    <w:bookmarkStart w:id="250" w:name="P250"/>
    <w:bookmarkEnd w:id="250"/>
    <w:p>
      <w:pPr>
        <w:pStyle w:val="0"/>
        <w:spacing w:before="240" w:line-rule="auto"/>
        <w:ind w:firstLine="540"/>
        <w:jc w:val="both"/>
      </w:pPr>
      <w:r>
        <w:rPr>
          <w:sz w:val="24"/>
        </w:rPr>
        <w:t xml:space="preserve">22. Предельный объем возмещаемых затрат не может превышать:</w:t>
      </w:r>
    </w:p>
    <w:bookmarkStart w:id="251" w:name="P251"/>
    <w:bookmarkEnd w:id="251"/>
    <w:p>
      <w:pPr>
        <w:pStyle w:val="0"/>
        <w:spacing w:before="240" w:line-rule="auto"/>
        <w:ind w:firstLine="540"/>
        <w:jc w:val="both"/>
      </w:pPr>
      <w:r>
        <w:rPr>
          <w:sz w:val="24"/>
        </w:rPr>
        <w:t xml:space="preserve">50 процентов фактически понесенных организациями, реализующими проект, затрат:</w:t>
      </w:r>
    </w:p>
    <w:p>
      <w:pPr>
        <w:pStyle w:val="0"/>
        <w:spacing w:before="240" w:line-rule="auto"/>
        <w:ind w:firstLine="540"/>
        <w:jc w:val="both"/>
      </w:pPr>
      <w:r>
        <w:rPr>
          <w:sz w:val="24"/>
        </w:rPr>
        <w:t xml:space="preserve">на создание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0"/>
        <w:spacing w:before="240" w:line-rule="auto"/>
        <w:ind w:firstLine="540"/>
        <w:jc w:val="both"/>
      </w:pPr>
      <w:r>
        <w:rPr>
          <w:sz w:val="24"/>
        </w:rPr>
        <w:t xml:space="preserve">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257" w:name="P257"/>
    <w:bookmarkEnd w:id="257"/>
    <w:p>
      <w:pPr>
        <w:pStyle w:val="0"/>
        <w:spacing w:before="240" w:line-rule="auto"/>
        <w:ind w:firstLine="540"/>
        <w:jc w:val="both"/>
      </w:pPr>
      <w:r>
        <w:rPr>
          <w:sz w:val="24"/>
        </w:rPr>
        <w:t xml:space="preserve">100 процентов фактически понесенных организациями, реализующими проект, затрат:</w:t>
      </w:r>
    </w:p>
    <w:p>
      <w:pPr>
        <w:pStyle w:val="0"/>
        <w:spacing w:before="240" w:line-rule="auto"/>
        <w:ind w:firstLine="540"/>
        <w:jc w:val="both"/>
      </w:pPr>
      <w:r>
        <w:rPr>
          <w:sz w:val="24"/>
        </w:rPr>
        <w:t xml:space="preserve">на создание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0"/>
        <w:spacing w:before="240" w:line-rule="auto"/>
        <w:ind w:firstLine="540"/>
        <w:jc w:val="both"/>
      </w:pPr>
      <w:r>
        <w:rPr>
          <w:sz w:val="24"/>
        </w:rPr>
        <w:t xml:space="preserve">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на демонтаж объектов, расположенных на территориях военных городков (в части жилищного строительства).</w:t>
      </w:r>
    </w:p>
    <w:p>
      <w:pPr>
        <w:pStyle w:val="0"/>
        <w:spacing w:before="240" w:line-rule="auto"/>
        <w:ind w:firstLine="540"/>
        <w:jc w:val="both"/>
      </w:pPr>
      <w:r>
        <w:rPr>
          <w:sz w:val="24"/>
        </w:rPr>
        <w:t xml:space="preserve">При этом объем возмещения затрат, предоставленный с соблюдением предельных размеров, указанных в </w:t>
      </w:r>
      <w:hyperlink w:history="0" w:anchor="P251" w:tooltip="50 процентов фактически понесенных организациями, реализующими проект, затрат:">
        <w:r>
          <w:rPr>
            <w:sz w:val="24"/>
            <w:color w:val="0000ff"/>
          </w:rPr>
          <w:t xml:space="preserve">абзацах втором</w:t>
        </w:r>
      </w:hyperlink>
      <w:r>
        <w:rPr>
          <w:sz w:val="24"/>
        </w:rPr>
        <w:t xml:space="preserve"> и </w:t>
      </w:r>
      <w:hyperlink w:history="0" w:anchor="P257" w:tooltip="100 процентов фактически понесенных организациями, реализующими проект, затрат:">
        <w:r>
          <w:rPr>
            <w:sz w:val="24"/>
            <w:color w:val="0000ff"/>
          </w:rPr>
          <w:t xml:space="preserve">шестом</w:t>
        </w:r>
      </w:hyperlink>
      <w:r>
        <w:rPr>
          <w:sz w:val="24"/>
        </w:rPr>
        <w:t xml:space="preserve"> настоящего пункта, а также с учетом положений </w:t>
      </w:r>
      <w:r>
        <w:rPr>
          <w:sz w:val="24"/>
        </w:rPr>
        <w:t xml:space="preserve">части 5 статьи 15</w:t>
      </w:r>
      <w:r>
        <w:rPr>
          <w:sz w:val="24"/>
        </w:rPr>
        <w:t xml:space="preserve"> Федерального закона, не должен превышать нормативы возмещения затрат:</w:t>
      </w:r>
    </w:p>
    <w:bookmarkStart w:id="263" w:name="P263"/>
    <w:bookmarkEnd w:id="263"/>
    <w:p>
      <w:pPr>
        <w:pStyle w:val="0"/>
        <w:spacing w:before="240" w:line-rule="auto"/>
        <w:ind w:firstLine="540"/>
        <w:jc w:val="both"/>
      </w:pPr>
      <w:r>
        <w:rPr>
          <w:sz w:val="24"/>
        </w:rP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возмещения затрат, указанных в </w:t>
      </w:r>
      <w:hyperlink w:history="0" w:anchor="P136" w:tooltip="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абзаце втором пункта 4</w:t>
        </w:r>
      </w:hyperlink>
      <w:r>
        <w:rPr>
          <w:sz w:val="24"/>
        </w:rPr>
        <w:t xml:space="preserve"> настоящих Правил;</w:t>
      </w:r>
    </w:p>
    <w:bookmarkStart w:id="264" w:name="P264"/>
    <w:bookmarkEnd w:id="264"/>
    <w:p>
      <w:pPr>
        <w:pStyle w:val="0"/>
        <w:spacing w:before="240" w:line-rule="auto"/>
        <w:ind w:firstLine="540"/>
        <w:jc w:val="both"/>
      </w:pPr>
      <w:r>
        <w:rPr>
          <w:sz w:val="24"/>
        </w:rPr>
        <w:t xml:space="preserve">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w:t>
      </w:r>
      <w:hyperlink w:history="0" w:anchor="P138" w:tooltip="на уплату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
        <w:r>
          <w:rPr>
            <w:sz w:val="24"/>
            <w:color w:val="0000ff"/>
          </w:rPr>
          <w:t xml:space="preserve">абзацах третьем</w:t>
        </w:r>
      </w:hyperlink>
      <w:r>
        <w:rPr>
          <w:sz w:val="24"/>
        </w:rPr>
        <w:t xml:space="preserve"> и </w:t>
      </w:r>
      <w:hyperlink w:history="0" w:anchor="P140" w:tooltip="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четвертом пункта 4</w:t>
        </w:r>
      </w:hyperlink>
      <w:r>
        <w:rPr>
          <w:sz w:val="24"/>
        </w:rPr>
        <w:t xml:space="preserve"> настоящих Правил;</w:t>
      </w:r>
    </w:p>
    <w:bookmarkStart w:id="265" w:name="P265"/>
    <w:bookmarkEnd w:id="265"/>
    <w:p>
      <w:pPr>
        <w:pStyle w:val="0"/>
        <w:spacing w:before="240" w:line-rule="auto"/>
        <w:ind w:firstLine="540"/>
        <w:jc w:val="both"/>
      </w:pPr>
      <w:r>
        <w:rPr>
          <w:sz w:val="24"/>
        </w:rPr>
        <w:t xml:space="preserve">70 процентов базового индикатора, определяемого в соответствии с </w:t>
      </w:r>
      <w:r>
        <w:rPr>
          <w:sz w:val="24"/>
        </w:rPr>
        <w:t xml:space="preserve">постановлением</w:t>
      </w:r>
      <w:r>
        <w:rPr>
          <w:sz w:val="24"/>
        </w:rPr>
        <w:t xml:space="preserve">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при возмещении затрат на выплату купонного дохода по облигационным займам, но не более предельного уровня конечной ставки кредитования, рассчитанного в соответствии с указанным постановлением, в случае возмещения затрат, указанных в </w:t>
      </w:r>
      <w:hyperlink w:history="0" w:anchor="P138" w:tooltip="на уплату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
        <w:r>
          <w:rPr>
            <w:sz w:val="24"/>
            <w:color w:val="0000ff"/>
          </w:rPr>
          <w:t xml:space="preserve">абзацах третьем</w:t>
        </w:r>
      </w:hyperlink>
      <w:r>
        <w:rPr>
          <w:sz w:val="24"/>
        </w:rPr>
        <w:t xml:space="preserve"> и </w:t>
      </w:r>
      <w:hyperlink w:history="0" w:anchor="P140" w:tooltip="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четвертом пункта 4</w:t>
        </w:r>
      </w:hyperlink>
      <w:r>
        <w:rPr>
          <w:sz w:val="24"/>
        </w:rPr>
        <w:t xml:space="preserve"> настоящих Правил;</w:t>
      </w:r>
    </w:p>
    <w:bookmarkStart w:id="266" w:name="P266"/>
    <w:bookmarkEnd w:id="266"/>
    <w:p>
      <w:pPr>
        <w:pStyle w:val="0"/>
        <w:spacing w:before="240" w:line-rule="auto"/>
        <w:ind w:firstLine="540"/>
        <w:jc w:val="both"/>
      </w:pPr>
      <w:r>
        <w:rPr>
          <w:sz w:val="24"/>
        </w:rPr>
        <w:t xml:space="preserve">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возмещения затрат, указанных в </w:t>
      </w:r>
      <w:hyperlink w:history="0" w:anchor="P136" w:tooltip="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абзаце втором пункта 4</w:t>
        </w:r>
      </w:hyperlink>
      <w:r>
        <w:rPr>
          <w:sz w:val="24"/>
        </w:rPr>
        <w:t xml:space="preserve"> настоящих Правил;</w:t>
      </w:r>
    </w:p>
    <w:bookmarkStart w:id="267" w:name="P267"/>
    <w:bookmarkEnd w:id="267"/>
    <w:p>
      <w:pPr>
        <w:pStyle w:val="0"/>
        <w:spacing w:before="240" w:line-rule="auto"/>
        <w:ind w:firstLine="540"/>
        <w:jc w:val="both"/>
      </w:pPr>
      <w:r>
        <w:rPr>
          <w:sz w:val="24"/>
        </w:rP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возмещения затрат, указанных в </w:t>
      </w:r>
      <w:hyperlink w:history="0" w:anchor="P136" w:tooltip="на создание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абзаце втором пункта 4</w:t>
        </w:r>
      </w:hyperlink>
      <w:r>
        <w:rPr>
          <w:sz w:val="24"/>
        </w:rPr>
        <w:t xml:space="preserve"> настоящих Правил;</w:t>
      </w:r>
    </w:p>
    <w:p>
      <w:pPr>
        <w:pStyle w:val="0"/>
        <w:spacing w:before="240" w:line-rule="auto"/>
        <w:ind w:firstLine="540"/>
        <w:jc w:val="both"/>
      </w:pPr>
      <w:r>
        <w:rPr>
          <w:sz w:val="24"/>
        </w:rPr>
        <w:t xml:space="preserve">сметную стоимость создания объектов инфраструктуры, отношения по созданию которых регулируются законодательством Российской Федерации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возмещения затрат, указанных в </w:t>
      </w:r>
      <w:hyperlink w:history="0" w:anchor="P138" w:tooltip="на уплату процентов по кредитам и займам, купонного дохода по облигационным займам, привлеченным для создания объектов обеспечивающей и (или) сопутствующей инфраструктур, необходимых для реализации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
        <w:r>
          <w:rPr>
            <w:sz w:val="24"/>
            <w:color w:val="0000ff"/>
          </w:rPr>
          <w:t xml:space="preserve">абзаце третьем пункта 4</w:t>
        </w:r>
      </w:hyperlink>
      <w:r>
        <w:rPr>
          <w:sz w:val="24"/>
        </w:rPr>
        <w:t xml:space="preserve"> настоящих Правил.</w:t>
      </w:r>
    </w:p>
    <w:p>
      <w:pPr>
        <w:pStyle w:val="0"/>
        <w:spacing w:before="240" w:line-rule="auto"/>
        <w:ind w:firstLine="540"/>
        <w:jc w:val="both"/>
      </w:pPr>
      <w:r>
        <w:rPr>
          <w:sz w:val="24"/>
        </w:rPr>
        <w:t xml:space="preserve">Объем возмещения затрат, указанных в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пункте 4</w:t>
        </w:r>
      </w:hyperlink>
      <w:r>
        <w:rPr>
          <w:sz w:val="24"/>
        </w:rPr>
        <w:t xml:space="preserve"> настоящих Правил, подлежащий предоставлению организации, реализующей проект, определяется согласно </w:t>
      </w:r>
      <w:hyperlink w:history="0" w:anchor="P666" w:tooltip="ФОРМА РАСЧЕТА">
        <w:r>
          <w:rPr>
            <w:sz w:val="24"/>
            <w:color w:val="0000ff"/>
          </w:rPr>
          <w:t xml:space="preserve">приложению N 2</w:t>
        </w:r>
      </w:hyperlink>
      <w:r>
        <w:rPr>
          <w:sz w:val="24"/>
        </w:rPr>
        <w:t xml:space="preserve">.</w:t>
      </w:r>
    </w:p>
    <w:p>
      <w:pPr>
        <w:pStyle w:val="0"/>
        <w:jc w:val="both"/>
      </w:pPr>
      <w:r>
        <w:rPr>
          <w:sz w:val="24"/>
        </w:rPr>
        <w:t xml:space="preserve">(п. 22 в ред. </w:t>
      </w:r>
      <w:r>
        <w:rPr>
          <w:sz w:val="24"/>
        </w:rPr>
        <w:t xml:space="preserve">Постановления</w:t>
      </w:r>
      <w:r>
        <w:rPr>
          <w:sz w:val="24"/>
        </w:rPr>
        <w:t xml:space="preserve"> Правительства РФ от 14.12.2024 N 1789)</w:t>
      </w:r>
    </w:p>
    <w:p>
      <w:pPr>
        <w:pStyle w:val="0"/>
        <w:jc w:val="both"/>
      </w:pPr>
      <w:r>
        <w:rPr>
          <w:sz w:val="24"/>
        </w:rPr>
      </w:r>
    </w:p>
    <w:p>
      <w:pPr>
        <w:pStyle w:val="2"/>
        <w:outlineLvl w:val="1"/>
        <w:jc w:val="center"/>
      </w:pPr>
      <w:r>
        <w:rPr>
          <w:sz w:val="24"/>
        </w:rPr>
        <w:t xml:space="preserve">III. Порядок предоставления субсидий</w:t>
      </w:r>
    </w:p>
    <w:p>
      <w:pPr>
        <w:pStyle w:val="0"/>
        <w:jc w:val="center"/>
      </w:pPr>
      <w:r>
        <w:rPr>
          <w:sz w:val="24"/>
        </w:rPr>
        <w:t xml:space="preserve">(в ред. </w:t>
      </w:r>
      <w:r>
        <w:rPr>
          <w:sz w:val="24"/>
        </w:rPr>
        <w:t xml:space="preserve">Постановления</w:t>
      </w:r>
      <w:r>
        <w:rPr>
          <w:sz w:val="24"/>
        </w:rPr>
        <w:t xml:space="preserve"> Правительства РФ от 14.12.2024 N 1789)</w:t>
      </w:r>
    </w:p>
    <w:p>
      <w:pPr>
        <w:pStyle w:val="0"/>
        <w:jc w:val="both"/>
      </w:pPr>
      <w:r>
        <w:rPr>
          <w:sz w:val="24"/>
        </w:rPr>
      </w:r>
    </w:p>
    <w:p>
      <w:pPr>
        <w:pStyle w:val="0"/>
        <w:ind w:firstLine="540"/>
        <w:jc w:val="both"/>
      </w:pPr>
      <w:r>
        <w:rPr>
          <w:sz w:val="24"/>
        </w:rPr>
        <w:t xml:space="preserve">23.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24. Министерство экономического развития Российской Федерации не позднее 1 ноября года, предшествующего году предполагаемой даты предоставления субсидии, рассматривает представленные организацией, реализующей проект, в соответствии с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пунктом 26</w:t>
        </w:r>
      </w:hyperlink>
      <w:r>
        <w:rPr>
          <w:sz w:val="24"/>
        </w:rPr>
        <w:t xml:space="preserve"> настоящих Правил заявление, информацию и документы об объектах, затраты на которые могут быть возмещены в соответствии с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 и подготавливает письмо о возможности (невозможности) последующего предоставления субсидии.</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Правительства РФ от 05.12.2022 N 2232.</w:t>
      </w:r>
    </w:p>
    <w:bookmarkStart w:id="280" w:name="P280"/>
    <w:bookmarkEnd w:id="280"/>
    <w:p>
      <w:pPr>
        <w:pStyle w:val="0"/>
        <w:spacing w:before="240" w:line-rule="auto"/>
        <w:ind w:firstLine="540"/>
        <w:jc w:val="both"/>
      </w:pPr>
      <w:r>
        <w:rPr>
          <w:sz w:val="24"/>
        </w:rPr>
        <w:t xml:space="preserve">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проектом, в том числе отдельным этапом реализации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федеральным соглашением о защите и поощрении капиталовложений, при соблюдении условий, предусмотренных </w:t>
      </w:r>
      <w:r>
        <w:rPr>
          <w:sz w:val="24"/>
        </w:rPr>
        <w:t xml:space="preserve">частями 9</w:t>
      </w:r>
      <w:r>
        <w:rPr>
          <w:sz w:val="24"/>
        </w:rPr>
        <w:t xml:space="preserve"> - </w:t>
      </w:r>
      <w:r>
        <w:rPr>
          <w:sz w:val="24"/>
        </w:rPr>
        <w:t xml:space="preserve">11 статьи 15</w:t>
      </w:r>
      <w:r>
        <w:rPr>
          <w:sz w:val="24"/>
        </w:rPr>
        <w:t xml:space="preserve"> Федерального закона, до 1 апреля года, предшествующего году предоставления субсидии, представляет в Министерство экономического развития Российской Федерации следующие документы:</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282" w:name="P282"/>
    <w:bookmarkEnd w:id="282"/>
    <w:p>
      <w:pPr>
        <w:pStyle w:val="0"/>
        <w:spacing w:before="240" w:line-rule="auto"/>
        <w:ind w:firstLine="540"/>
        <w:jc w:val="both"/>
      </w:pPr>
      <w:r>
        <w:rPr>
          <w:sz w:val="24"/>
        </w:rPr>
        <w:t xml:space="preserve">а) в случае возмещения затрат на создание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pPr>
        <w:pStyle w:val="0"/>
        <w:spacing w:before="240" w:line-rule="auto"/>
        <w:ind w:firstLine="540"/>
        <w:jc w:val="both"/>
      </w:pPr>
      <w:r>
        <w:rPr>
          <w:sz w:val="24"/>
        </w:rPr>
        <w:t xml:space="preserve">сведения о соответствии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паспорт объекта инфраструктуры с указанием места расположения, наименования объекта инфраструктуры, площади объекта инфраструктуры, фактической стоимости объекта инфраструктуры, его мощности (при наличии) (по усмотрению организации, реализующей проект, могут быть указаны иные параметры (показатели) созданного объекта инфраструктуры). </w:t>
      </w:r>
      <w:r>
        <w:rPr>
          <w:sz w:val="24"/>
        </w:rPr>
        <w:t xml:space="preserve">Форму</w:t>
      </w:r>
      <w:r>
        <w:rPr>
          <w:sz w:val="24"/>
        </w:rPr>
        <w:t xml:space="preserve"> паспорта объекта инфраструктуры утверждает Министерство экономического развития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расчет объема возмещения затрат, указанных в </w:t>
      </w:r>
      <w:r>
        <w:rPr>
          <w:sz w:val="24"/>
        </w:rPr>
        <w:t xml:space="preserve">части 1 статьи 15</w:t>
      </w:r>
      <w:r>
        <w:rPr>
          <w:sz w:val="24"/>
        </w:rPr>
        <w:t xml:space="preserve"> Федерального закона, составленный по форме, предусмотренной </w:t>
      </w:r>
      <w:hyperlink w:history="0" w:anchor="P666" w:tooltip="ФОРМА РАСЧЕТА">
        <w:r>
          <w:rPr>
            <w:sz w:val="24"/>
            <w:color w:val="0000ff"/>
          </w:rPr>
          <w:t xml:space="preserve">приложением N 2</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сведения о сметной стоимости объектов инфраструктуры, в том числе по каждому объекту инфраструктуры,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объектов инфраструктуры и проверки достоверности определения их сметной стоимости, в том числе по каждому объекту инфраструктуры (в случае создания объекта инфраструктуры в соответствии с </w:t>
      </w:r>
      <w:r>
        <w:rPr>
          <w:sz w:val="24"/>
        </w:rPr>
        <w:t xml:space="preserve">частью 20 статьи 15</w:t>
      </w:r>
      <w:r>
        <w:rPr>
          <w:sz w:val="24"/>
        </w:rPr>
        <w:t xml:space="preserve"> Федерального закона представление документов не требуется);</w:t>
      </w:r>
    </w:p>
    <w:p>
      <w:pPr>
        <w:pStyle w:val="0"/>
        <w:spacing w:before="240" w:line-rule="auto"/>
        <w:ind w:firstLine="540"/>
        <w:jc w:val="both"/>
      </w:pPr>
      <w:r>
        <w:rPr>
          <w:sz w:val="24"/>
        </w:rPr>
        <w:t xml:space="preserve">положительные заключения о проведении государственной экологической экспертизы проектной документации в случаях, предусмотренных </w:t>
      </w:r>
      <w:r>
        <w:rPr>
          <w:sz w:val="24"/>
        </w:rPr>
        <w:t xml:space="preserve">частью 6 статьи 49</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положительное заключение о проведении технологического аудита;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копия договора о комплексном развитии территории (если применимо);</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сведения о реализации жилых помещений, осуществляемой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 (если применимо);</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pPr>
        <w:pStyle w:val="0"/>
        <w:spacing w:before="240" w:line-rule="auto"/>
        <w:ind w:firstLine="540"/>
        <w:jc w:val="both"/>
      </w:pPr>
      <w:r>
        <w:rPr>
          <w:sz w:val="24"/>
        </w:rPr>
        <w:t xml:space="preserve">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pPr>
        <w:pStyle w:val="0"/>
        <w:spacing w:before="240" w:line-rule="auto"/>
        <w:ind w:firstLine="540"/>
        <w:jc w:val="both"/>
      </w:pPr>
      <w:r>
        <w:rPr>
          <w:sz w:val="24"/>
        </w:rPr>
        <w:t xml:space="preserve">сведения об объеме ранее возмещенных затрат, указанных в </w:t>
      </w:r>
      <w:r>
        <w:rPr>
          <w:sz w:val="24"/>
        </w:rPr>
        <w:t xml:space="preserve">части 1 статьи 15</w:t>
      </w:r>
      <w:r>
        <w:rPr>
          <w:sz w:val="24"/>
        </w:rPr>
        <w:t xml:space="preserve"> Федерального закона,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сведения о размере предоставленных мер прямой государственной поддержки в связи с осуществлением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перечень произведенных затрат, в том числе по каждому объекту инфраструктуры;</w:t>
      </w:r>
    </w:p>
    <w:p>
      <w:pPr>
        <w:pStyle w:val="0"/>
        <w:spacing w:before="240" w:line-rule="auto"/>
        <w:ind w:firstLine="540"/>
        <w:jc w:val="both"/>
      </w:pPr>
      <w:r>
        <w:rPr>
          <w:sz w:val="24"/>
        </w:rPr>
        <w:t xml:space="preserve">копии актов приема-передачи, иных документов, подтверждающих передачу объектов сопутствующей инфраструктуры проекта на баланс регулируемой организации или публично-правового образования (если применимо);</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в случае создания объекта инфраструктуры в соответствии с </w:t>
      </w:r>
      <w:r>
        <w:rPr>
          <w:sz w:val="24"/>
        </w:rPr>
        <w:t xml:space="preserve">частью 20 статьи 15</w:t>
      </w:r>
      <w:r>
        <w:rPr>
          <w:sz w:val="24"/>
        </w:rPr>
        <w:t xml:space="preserve"> Федерального закона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 (в том числе в случае возмещения затрат в отношении объекта инфраструктуры, указанного в </w:t>
      </w:r>
      <w:hyperlink w:history="0" w:anchor="P210" w:tooltip="Возмещение затрат на цели, предусмотренные пунктом 4 настоящих Правил,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
        <w:r>
          <w:rPr>
            <w:sz w:val="24"/>
            <w:color w:val="0000ff"/>
          </w:rPr>
          <w:t xml:space="preserve">абзаце четвертом пункта 14</w:t>
        </w:r>
      </w:hyperlink>
      <w:r>
        <w:rPr>
          <w:sz w:val="24"/>
        </w:rPr>
        <w:t xml:space="preserve"> настоящих Правил);</w:t>
      </w:r>
    </w:p>
    <w:p>
      <w:pPr>
        <w:pStyle w:val="0"/>
        <w:spacing w:before="240" w:line-rule="auto"/>
        <w:ind w:firstLine="540"/>
        <w:jc w:val="both"/>
      </w:pPr>
      <w:r>
        <w:rPr>
          <w:sz w:val="24"/>
        </w:rPr>
        <w:t xml:space="preserve">копия документа федерального органа исполнительной власти в области регулирования тарифов или исполнительных органов субъектов Российской Федерации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pPr>
        <w:pStyle w:val="0"/>
        <w:spacing w:before="240" w:line-rule="auto"/>
        <w:ind w:firstLine="540"/>
        <w:jc w:val="both"/>
      </w:pPr>
      <w:r>
        <w:rPr>
          <w:sz w:val="24"/>
        </w:rPr>
        <w:t xml:space="preserve">копии документов, подтверждающих создание (строительство) либо реконструкцию и ввод в эксплуатацию, а также государственную регистрацию в соответствии с законодательством Российской Федерации всех объектов недвижимого имущества в рамках проекта (копии актов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выписки из Единого государственного реестра недвижимости)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r>
        <w:rPr>
          <w:sz w:val="24"/>
        </w:rPr>
        <w:t xml:space="preserve">частью 20 статьи 15</w:t>
      </w:r>
      <w:r>
        <w:rPr>
          <w:sz w:val="24"/>
        </w:rPr>
        <w:t xml:space="preserve"> Федерального закона представление документов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(основного объекта проекта (основных объектов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договору,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r>
        <w:rPr>
          <w:sz w:val="24"/>
        </w:rPr>
        <w:t xml:space="preserve">частью 20 статьи 15</w:t>
      </w:r>
      <w:r>
        <w:rPr>
          <w:sz w:val="24"/>
        </w:rPr>
        <w:t xml:space="preserve"> Федерального закона представление документов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копии документов, подтверждающих государственную регистрацию результатов интеллектуальной деятельности и (или) приравненных к ним средств индивидуализации (если применимо);</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договору,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r>
        <w:rPr>
          <w:sz w:val="24"/>
        </w:rPr>
        <w:t xml:space="preserve">частью 1 статьи 15</w:t>
      </w:r>
      <w:r>
        <w:rPr>
          <w:sz w:val="24"/>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б) в случае возмещения затрат на уплату процентов по кредитам и займам, купонного дохода по облигационным займам, привлеченным для создания объектов инфраструктуры,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дополнительно к документам, представляемым в соответствии с </w:t>
      </w:r>
      <w:hyperlink w:history="0" w:anchor="P282" w:tooltip="а) в случае возмещения затрат на создание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подпунктом "а"</w:t>
        </w:r>
      </w:hyperlink>
      <w:r>
        <w:rPr>
          <w:sz w:val="24"/>
        </w:rPr>
        <w:t xml:space="preserve"> настоящего пункта: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27.10.2025 N 1664;</w:t>
      </w:r>
    </w:p>
    <w:bookmarkStart w:id="320" w:name="P320"/>
    <w:bookmarkEnd w:id="320"/>
    <w:p>
      <w:pPr>
        <w:pStyle w:val="0"/>
        <w:spacing w:before="240" w:line-rule="auto"/>
        <w:ind w:firstLine="540"/>
        <w:jc w:val="both"/>
      </w:pPr>
      <w:r>
        <w:rPr>
          <w:sz w:val="24"/>
        </w:rPr>
        <w:t xml:space="preserve">кредитный договор (договор займа) с графиком погашения кредита (займа) и уплаты процентов по нему;</w:t>
      </w:r>
    </w:p>
    <w:p>
      <w:pPr>
        <w:pStyle w:val="0"/>
        <w:spacing w:before="240" w:line-rule="auto"/>
        <w:ind w:firstLine="540"/>
        <w:jc w:val="both"/>
      </w:pPr>
      <w:r>
        <w:rPr>
          <w:sz w:val="24"/>
        </w:rPr>
        <w:t xml:space="preserve">абзацы пятый - одиннадцатый утратили силу. - </w:t>
      </w:r>
      <w:r>
        <w:rPr>
          <w:sz w:val="24"/>
        </w:rPr>
        <w:t xml:space="preserve">Постановление</w:t>
      </w:r>
      <w:r>
        <w:rPr>
          <w:sz w:val="24"/>
        </w:rPr>
        <w:t xml:space="preserve"> Правительства РФ от 27.10.2025 N 1664;</w:t>
      </w:r>
    </w:p>
    <w:bookmarkStart w:id="322" w:name="P322"/>
    <w:bookmarkEnd w:id="322"/>
    <w:p>
      <w:pPr>
        <w:pStyle w:val="0"/>
        <w:spacing w:before="240" w:line-rule="auto"/>
        <w:ind w:firstLine="540"/>
        <w:jc w:val="both"/>
      </w:pPr>
      <w:r>
        <w:rPr>
          <w:sz w:val="24"/>
        </w:rPr>
        <w:t xml:space="preserve">документы, подтверждающие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справка о размере уплаченных процентов по целевому кредиту (займу), выданная кредитной организацией;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bookmarkStart w:id="326" w:name="P326"/>
    <w:bookmarkEnd w:id="326"/>
    <w:p>
      <w:pPr>
        <w:pStyle w:val="0"/>
        <w:spacing w:before="240" w:line-rule="auto"/>
        <w:ind w:firstLine="540"/>
        <w:jc w:val="both"/>
      </w:pPr>
      <w:r>
        <w:rPr>
          <w:sz w:val="24"/>
        </w:rPr>
        <w:t xml:space="preserve">документы, подтверждающие исполнение организацией, реализующей проект, условий облигационных займов, по которым осуществляется выплата купонного дохода;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объектов инфраструктуры (копии платежных поручений);</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330" w:name="P330"/>
    <w:bookmarkEnd w:id="330"/>
    <w:p>
      <w:pPr>
        <w:pStyle w:val="0"/>
        <w:spacing w:before="240" w:line-rule="auto"/>
        <w:ind w:firstLine="540"/>
        <w:jc w:val="both"/>
      </w:pPr>
      <w:r>
        <w:rPr>
          <w:sz w:val="24"/>
        </w:rPr>
        <w:t xml:space="preserve">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 (если применимо);</w:t>
      </w:r>
    </w:p>
    <w:p>
      <w:pPr>
        <w:pStyle w:val="0"/>
        <w:spacing w:before="240" w:line-rule="auto"/>
        <w:ind w:firstLine="540"/>
        <w:jc w:val="both"/>
      </w:pPr>
      <w:r>
        <w:rPr>
          <w:sz w:val="24"/>
        </w:rPr>
        <w:t xml:space="preserve">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 (если применимо);</w:t>
      </w:r>
    </w:p>
    <w:p>
      <w:pPr>
        <w:pStyle w:val="0"/>
        <w:spacing w:before="240" w:line-rule="auto"/>
        <w:ind w:firstLine="540"/>
        <w:jc w:val="both"/>
      </w:pPr>
      <w:r>
        <w:rPr>
          <w:sz w:val="24"/>
        </w:rPr>
        <w:t xml:space="preserve">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bookmarkStart w:id="333" w:name="P333"/>
    <w:bookmarkEnd w:id="333"/>
    <w:p>
      <w:pPr>
        <w:pStyle w:val="0"/>
        <w:spacing w:before="240" w:line-rule="auto"/>
        <w:ind w:firstLine="540"/>
        <w:jc w:val="both"/>
      </w:pPr>
      <w:r>
        <w:rPr>
          <w:sz w:val="24"/>
        </w:rPr>
        <w:t xml:space="preserve">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pPr>
        <w:pStyle w:val="0"/>
        <w:spacing w:before="240" w:line-rule="auto"/>
        <w:ind w:firstLine="540"/>
        <w:jc w:val="both"/>
      </w:pPr>
      <w:r>
        <w:rPr>
          <w:sz w:val="24"/>
        </w:rPr>
        <w:t xml:space="preserve">абзацы девятнадцатый - двадцатый утратили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б(1)) в случае возмещения затрат 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spacing w:before="240" w:line-rule="auto"/>
        <w:ind w:firstLine="540"/>
        <w:jc w:val="both"/>
      </w:pPr>
      <w:r>
        <w:rPr>
          <w:sz w:val="24"/>
        </w:rPr>
        <w:t xml:space="preserve">сведения об основном объекте проекта (основных объектах проекта), затраты на которые планируется возместить, предполагаемой дате начала возмещения затрат, прогнозируемой общей сумме затрат, подлежащих возмещению, с разбивкой по годам на планируемый срок возмещения затрат;</w:t>
      </w:r>
    </w:p>
    <w:p>
      <w:pPr>
        <w:pStyle w:val="0"/>
        <w:spacing w:before="240" w:line-rule="auto"/>
        <w:ind w:firstLine="540"/>
        <w:jc w:val="both"/>
      </w:pPr>
      <w:r>
        <w:rPr>
          <w:sz w:val="24"/>
        </w:rPr>
        <w:t xml:space="preserve">расчет объема возмещения затрат, указанных в </w:t>
      </w:r>
      <w:r>
        <w:rPr>
          <w:sz w:val="24"/>
        </w:rPr>
        <w:t xml:space="preserve">части 1 статьи 15</w:t>
      </w:r>
      <w:r>
        <w:rPr>
          <w:sz w:val="24"/>
        </w:rPr>
        <w:t xml:space="preserve"> Федерального закона, составленный по форме, предусмотренной </w:t>
      </w:r>
      <w:hyperlink w:history="0" w:anchor="P666" w:tooltip="ФОРМА РАСЧЕТА">
        <w:r>
          <w:rPr>
            <w:sz w:val="24"/>
            <w:color w:val="0000ff"/>
          </w:rPr>
          <w:t xml:space="preserve">приложением N 2</w:t>
        </w:r>
      </w:hyperlink>
      <w:r>
        <w:rPr>
          <w:sz w:val="24"/>
        </w:rPr>
        <w:t xml:space="preserve"> к настоящим Правилам;</w:t>
      </w:r>
    </w:p>
    <w:p>
      <w:pPr>
        <w:pStyle w:val="0"/>
        <w:spacing w:before="240" w:line-rule="auto"/>
        <w:ind w:firstLine="540"/>
        <w:jc w:val="both"/>
      </w:pPr>
      <w:r>
        <w:rPr>
          <w:sz w:val="24"/>
        </w:rPr>
        <w:t xml:space="preserve">сведения о сметной стоимости основного объекта проекта (основных объектов проекта), в том числе по каждому основному объекту проекта, отношения по созданию которых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основного объекта проекта (основных объектов проекта) и проверки достоверности определения их сметной стоимости, в том числе по каждому основному объекту проекта;</w:t>
      </w:r>
    </w:p>
    <w:p>
      <w:pPr>
        <w:pStyle w:val="0"/>
        <w:spacing w:before="240" w:line-rule="auto"/>
        <w:ind w:firstLine="540"/>
        <w:jc w:val="both"/>
      </w:pPr>
      <w:r>
        <w:rPr>
          <w:sz w:val="24"/>
        </w:rPr>
        <w:t xml:space="preserve">положительные заключения о проведении государственной экологической экспертизы проектной документации в случаях, предусмотренных </w:t>
      </w:r>
      <w:r>
        <w:rPr>
          <w:sz w:val="24"/>
        </w:rPr>
        <w:t xml:space="preserve">частью 6 статьи 49</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положительное заключение о проведении технологического аудита;</w:t>
      </w:r>
    </w:p>
    <w:p>
      <w:pPr>
        <w:pStyle w:val="0"/>
        <w:spacing w:before="240" w:line-rule="auto"/>
        <w:ind w:firstLine="540"/>
        <w:jc w:val="both"/>
      </w:pPr>
      <w:r>
        <w:rPr>
          <w:sz w:val="24"/>
        </w:rPr>
        <w:t xml:space="preserve">копия договора о комплексном развитии территории (если применимо);</w:t>
      </w:r>
    </w:p>
    <w:p>
      <w:pPr>
        <w:pStyle w:val="0"/>
        <w:spacing w:before="240" w:line-rule="auto"/>
        <w:ind w:firstLine="540"/>
        <w:jc w:val="both"/>
      </w:pPr>
      <w:r>
        <w:rPr>
          <w:sz w:val="24"/>
        </w:rPr>
        <w:t xml:space="preserve">сведения о реализации жилых помещений, осуществляемой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 (если применимо);</w:t>
      </w:r>
    </w:p>
    <w:p>
      <w:pPr>
        <w:pStyle w:val="0"/>
        <w:spacing w:before="240" w:line-rule="auto"/>
        <w:ind w:firstLine="540"/>
        <w:jc w:val="both"/>
      </w:pPr>
      <w:r>
        <w:rPr>
          <w:sz w:val="24"/>
        </w:rPr>
        <w:t xml:space="preserve">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pPr>
        <w:pStyle w:val="0"/>
        <w:spacing w:before="240" w:line-rule="auto"/>
        <w:ind w:firstLine="540"/>
        <w:jc w:val="both"/>
      </w:pPr>
      <w:r>
        <w:rPr>
          <w:sz w:val="24"/>
        </w:rPr>
        <w:t xml:space="preserve">сведения об объеме ранее возмещенных затрат, указанных в </w:t>
      </w:r>
      <w:r>
        <w:rPr>
          <w:sz w:val="24"/>
        </w:rPr>
        <w:t xml:space="preserve">части 1 статьи 15</w:t>
      </w:r>
      <w:r>
        <w:rPr>
          <w:sz w:val="24"/>
        </w:rPr>
        <w:t xml:space="preserve"> Федерального закона,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ущерба с указанием года и размера возмещения, в том числе по каждому объекту инфраструктуры (если применимо);</w:t>
      </w:r>
    </w:p>
    <w:p>
      <w:pPr>
        <w:pStyle w:val="0"/>
        <w:spacing w:before="240" w:line-rule="auto"/>
        <w:ind w:firstLine="540"/>
        <w:jc w:val="both"/>
      </w:pPr>
      <w:r>
        <w:rPr>
          <w:sz w:val="24"/>
        </w:rPr>
        <w:t xml:space="preserve">сведения о размере предоставленных мер прямой государственной поддержки в связи с осуществлением проекта;</w:t>
      </w:r>
    </w:p>
    <w:p>
      <w:pPr>
        <w:pStyle w:val="0"/>
        <w:spacing w:before="240" w:line-rule="auto"/>
        <w:ind w:firstLine="540"/>
        <w:jc w:val="both"/>
      </w:pPr>
      <w:r>
        <w:rPr>
          <w:sz w:val="24"/>
        </w:rPr>
        <w:t xml:space="preserve">перечень произведенных затрат;</w:t>
      </w:r>
    </w:p>
    <w:p>
      <w:pPr>
        <w:pStyle w:val="0"/>
        <w:spacing w:before="240" w:line-rule="auto"/>
        <w:ind w:firstLine="540"/>
        <w:jc w:val="both"/>
      </w:pPr>
      <w:r>
        <w:rPr>
          <w:sz w:val="24"/>
        </w:rPr>
        <w:t xml:space="preserve">копии документов, подтверждающих создание (строительство) либо реконструкцию и ввод в эксплуатацию, а также государственную регистрацию в соответствии с законодательством Российской Федерации всех объектов недвижимого имущества в рамках проекта (копии актов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выписки из Единого государственного реестра недвижимости) (по объектам, отношения по созданию которых регулируются законодательством о градостроительной деятельности);</w:t>
      </w:r>
    </w:p>
    <w:p>
      <w:pPr>
        <w:pStyle w:val="0"/>
        <w:spacing w:before="240" w:line-rule="auto"/>
        <w:ind w:firstLine="540"/>
        <w:jc w:val="both"/>
      </w:pPr>
      <w:r>
        <w:rPr>
          <w:sz w:val="24"/>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(основного объекта проекта (основных объектов проекта)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договору, на осуществление работ по строительству и (или) реконструкции основного объекта проекта (основных объектов проекта),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w:t>
      </w:r>
    </w:p>
    <w:p>
      <w:pPr>
        <w:pStyle w:val="0"/>
        <w:spacing w:before="240" w:line-rule="auto"/>
        <w:ind w:firstLine="540"/>
        <w:jc w:val="both"/>
      </w:pPr>
      <w:r>
        <w:rPr>
          <w:sz w:val="24"/>
        </w:rPr>
        <w:t xml:space="preserve">копии документов, подтверждающих завершение создания основного объекта проекта (основных объектов проекта) (копии приказов о вводе в эксплуатацию основного объекта проекта (основных объектов проекта), копии договоров о закупке товаров, работ и услуг, копии договоров подряда, 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основного объекта проекта (основных объектов проекта)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договору,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pPr>
        <w:pStyle w:val="0"/>
        <w:spacing w:before="240" w:line-rule="auto"/>
        <w:ind w:firstLine="540"/>
        <w:jc w:val="both"/>
      </w:pPr>
      <w:r>
        <w:rPr>
          <w:sz w:val="24"/>
        </w:rPr>
        <w:t xml:space="preserve">документы, подтверждающие осуществление организацией, реализующей проект, за счет средств кредита (займа) и облигационного займа расходов, направленных на создание основного объекта проекта (основных объектов проекта) (копии платежных поручений);</w:t>
      </w:r>
    </w:p>
    <w:p>
      <w:pPr>
        <w:pStyle w:val="0"/>
        <w:spacing w:before="240" w:line-rule="auto"/>
        <w:ind w:firstLine="540"/>
        <w:jc w:val="both"/>
      </w:pPr>
      <w:r>
        <w:rPr>
          <w:sz w:val="24"/>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r>
        <w:rPr>
          <w:sz w:val="24"/>
        </w:rPr>
        <w:t xml:space="preserve">частью 1 статьи 15</w:t>
      </w:r>
      <w:r>
        <w:rPr>
          <w:sz w:val="24"/>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документы, представляемые в соответствии с </w:t>
      </w:r>
      <w:hyperlink w:history="0" w:anchor="P320" w:tooltip="кредитный договор (договор займа) с графиком погашения кредита (займа) и уплаты процентов по нему;">
        <w:r>
          <w:rPr>
            <w:sz w:val="24"/>
            <w:color w:val="0000ff"/>
          </w:rPr>
          <w:t xml:space="preserve">абзацами четвертым</w:t>
        </w:r>
      </w:hyperlink>
      <w:r>
        <w:rPr>
          <w:sz w:val="24"/>
        </w:rPr>
        <w:t xml:space="preserve">, </w:t>
      </w:r>
      <w:hyperlink w:history="0" w:anchor="P322" w:tooltip="документы, подтверждающие исполнение организацией, реализующей проект, графика платежей по кредитному договору (договору займа), справка об отсутствии просроченных платежей по целевому кредиту (займу) и остатке ссудной задолженности, выданная кредитной организацией не ранее чем за один месяц до дня подачи заявления о предоставлении субсидии;">
        <w:r>
          <w:rPr>
            <w:sz w:val="24"/>
            <w:color w:val="0000ff"/>
          </w:rPr>
          <w:t xml:space="preserve">двенадцатым</w:t>
        </w:r>
      </w:hyperlink>
      <w:r>
        <w:rPr>
          <w:sz w:val="24"/>
        </w:rPr>
        <w:t xml:space="preserve"> - </w:t>
      </w:r>
      <w:hyperlink w:history="0" w:anchor="P326" w:tooltip="документы, подтверждающие исполнение организацией, реализующей проект, условий облигационных займов, по которым осуществляется выплата купонного дохода;">
        <w:r>
          <w:rPr>
            <w:sz w:val="24"/>
            <w:color w:val="0000ff"/>
          </w:rPr>
          <w:t xml:space="preserve">четырнадцатым</w:t>
        </w:r>
      </w:hyperlink>
      <w:r>
        <w:rPr>
          <w:sz w:val="24"/>
        </w:rPr>
        <w:t xml:space="preserve"> и </w:t>
      </w:r>
      <w:hyperlink w:history="0" w:anchor="P330" w:tooltip="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
        <w:r>
          <w:rPr>
            <w:sz w:val="24"/>
            <w:color w:val="0000ff"/>
          </w:rPr>
          <w:t xml:space="preserve">шестнадцатым</w:t>
        </w:r>
      </w:hyperlink>
      <w:r>
        <w:rPr>
          <w:sz w:val="24"/>
        </w:rPr>
        <w:t xml:space="preserve"> - </w:t>
      </w:r>
      <w:hyperlink w:history="0" w:anchor="P333" w:tooltip="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
        <w:r>
          <w:rPr>
            <w:sz w:val="24"/>
            <w:color w:val="0000ff"/>
          </w:rPr>
          <w:t xml:space="preserve">девятнадцатым подпункта "б"</w:t>
        </w:r>
      </w:hyperlink>
      <w:r>
        <w:rPr>
          <w:sz w:val="24"/>
        </w:rPr>
        <w:t xml:space="preserve"> настоящего пункта;</w:t>
      </w:r>
    </w:p>
    <w:p>
      <w:pPr>
        <w:pStyle w:val="0"/>
        <w:jc w:val="both"/>
      </w:pPr>
      <w:r>
        <w:rPr>
          <w:sz w:val="24"/>
        </w:rPr>
        <w:t xml:space="preserve">(пп. "б(1)"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в) в случае возмещения затрат на демонтаж объектов, расположенных на территориях военных городков (в части жилищного строительства):</w:t>
      </w:r>
    </w:p>
    <w:p>
      <w:pPr>
        <w:pStyle w:val="0"/>
        <w:spacing w:before="240" w:line-rule="auto"/>
        <w:ind w:firstLine="540"/>
        <w:jc w:val="both"/>
      </w:pPr>
      <w:r>
        <w:rPr>
          <w:sz w:val="24"/>
        </w:rPr>
        <w:t xml:space="preserve">сведения о демонтированных объектах, которые были расположены на территориях военных городков (в части жилищного строительства), затраты на которые планируется возместить, с указанием предполагаемой даты начала возмещения затрат, прогнозируемой общей суммы затрат, подлежащих возмещению (с разбивкой по годам на планируемый срок возмещения затрат);</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расчет объема возмещения затрат, указанных в </w:t>
      </w:r>
      <w:r>
        <w:rPr>
          <w:sz w:val="24"/>
        </w:rPr>
        <w:t xml:space="preserve">части 1 статьи 15</w:t>
      </w:r>
      <w:r>
        <w:rPr>
          <w:sz w:val="24"/>
        </w:rPr>
        <w:t xml:space="preserve"> Федерального закона, составленный по форме, предусмотренной </w:t>
      </w:r>
      <w:hyperlink w:history="0" w:anchor="P666" w:tooltip="ФОРМА РАСЧЕТА">
        <w:r>
          <w:rPr>
            <w:sz w:val="24"/>
            <w:color w:val="0000ff"/>
          </w:rPr>
          <w:t xml:space="preserve">приложением N 2</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решение уполномоченного федерального органа исполнительной власти, в ведении которого находятся указанные объекты, об их передислокации;</w:t>
      </w:r>
    </w:p>
    <w:p>
      <w:pPr>
        <w:pStyle w:val="0"/>
        <w:spacing w:before="240" w:line-rule="auto"/>
        <w:ind w:firstLine="540"/>
        <w:jc w:val="both"/>
      </w:pPr>
      <w:r>
        <w:rPr>
          <w:sz w:val="24"/>
        </w:rPr>
        <w:t xml:space="preserve">проект работ по сносу объекта (при необходимости);</w:t>
      </w:r>
    </w:p>
    <w:p>
      <w:pPr>
        <w:pStyle w:val="0"/>
        <w:spacing w:before="240" w:line-rule="auto"/>
        <w:ind w:firstLine="540"/>
        <w:jc w:val="both"/>
      </w:pPr>
      <w:r>
        <w:rPr>
          <w:sz w:val="24"/>
        </w:rPr>
        <w:t xml:space="preserve">сведения о сметной стоимости сноса объектов капитального строительства, в том числе по каждому объекту капитального строительства, положительные заключения о проведении государственной экспертизы проектной документации в части проверки достоверности определения сметной стоимости сноса объектов капитального строительства, в том числе по каждому объекту капитального строительства;</w:t>
      </w:r>
    </w:p>
    <w:p>
      <w:pPr>
        <w:pStyle w:val="0"/>
        <w:spacing w:before="240" w:line-rule="auto"/>
        <w:ind w:firstLine="540"/>
        <w:jc w:val="both"/>
      </w:pPr>
      <w:r>
        <w:rPr>
          <w:sz w:val="24"/>
        </w:rPr>
        <w:t xml:space="preserve">положительные заключения о проведении государственной экологической экспертизы проектной документации в случаях, предусмотренных </w:t>
      </w:r>
      <w:r>
        <w:rPr>
          <w:sz w:val="24"/>
        </w:rPr>
        <w:t xml:space="preserve">частью 6 статьи 49</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сведения об объеме ранее возмещенных затрат, указанных в </w:t>
      </w:r>
      <w:r>
        <w:rPr>
          <w:sz w:val="24"/>
        </w:rPr>
        <w:t xml:space="preserve">части 1 статьи 15</w:t>
      </w:r>
      <w:r>
        <w:rPr>
          <w:sz w:val="24"/>
        </w:rPr>
        <w:t xml:space="preserve"> Федерального закона,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сведения о размере предоставленных мер прямой государственной поддержки в связи с осуществлением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видам налогов и обязательных платежей, по годам и по бюджетам бюджетной системы Российской Федерации на планируемый срок возмещения затрат);</w:t>
      </w:r>
    </w:p>
    <w:p>
      <w:pPr>
        <w:pStyle w:val="0"/>
        <w:spacing w:before="240" w:line-rule="auto"/>
        <w:ind w:firstLine="540"/>
        <w:jc w:val="both"/>
      </w:pPr>
      <w:r>
        <w:rPr>
          <w:sz w:val="24"/>
        </w:rPr>
        <w:t xml:space="preserve">перечень произведенных затрат;</w:t>
      </w:r>
    </w:p>
    <w:p>
      <w:pPr>
        <w:pStyle w:val="0"/>
        <w:spacing w:before="240" w:line-rule="auto"/>
        <w:ind w:firstLine="540"/>
        <w:jc w:val="both"/>
      </w:pPr>
      <w:r>
        <w:rPr>
          <w:sz w:val="24"/>
        </w:rPr>
        <w:t xml:space="preserve">абзацы двеныдцатый - четырнадцатый утратили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уведомление о завершении сноса объекта капитального строительства;</w:t>
      </w:r>
    </w:p>
    <w:p>
      <w:pPr>
        <w:pStyle w:val="0"/>
        <w:spacing w:before="240" w:line-rule="auto"/>
        <w:ind w:firstLine="540"/>
        <w:jc w:val="both"/>
      </w:pPr>
      <w:r>
        <w:rPr>
          <w:sz w:val="24"/>
        </w:rPr>
        <w:t xml:space="preserve">копия выписки, подтверждающая исключение объекта из Единого государственного реестра недвижимости и его снятие с кадастрового учета;</w:t>
      </w:r>
    </w:p>
    <w:p>
      <w:pPr>
        <w:pStyle w:val="0"/>
        <w:spacing w:before="240" w:line-rule="auto"/>
        <w:ind w:firstLine="540"/>
        <w:jc w:val="both"/>
      </w:pPr>
      <w:r>
        <w:rPr>
          <w:sz w:val="24"/>
        </w:rPr>
        <w:t xml:space="preserve">копии договоров об утилизации соответствующих отходов;</w:t>
      </w:r>
    </w:p>
    <w:p>
      <w:pPr>
        <w:pStyle w:val="0"/>
        <w:spacing w:before="240" w:line-rule="auto"/>
        <w:ind w:firstLine="540"/>
        <w:jc w:val="both"/>
      </w:pPr>
      <w:r>
        <w:rPr>
          <w:sz w:val="24"/>
        </w:rPr>
        <w:t xml:space="preserve">первичные учетные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демонтаж объектов в части работ, произведенных собственными силами;</w:t>
      </w:r>
    </w:p>
    <w:p>
      <w:pPr>
        <w:pStyle w:val="0"/>
        <w:spacing w:before="240" w:line-rule="auto"/>
        <w:ind w:firstLine="540"/>
        <w:jc w:val="both"/>
      </w:pPr>
      <w:r>
        <w:rPr>
          <w:sz w:val="24"/>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r>
        <w:rPr>
          <w:sz w:val="24"/>
        </w:rPr>
        <w:t xml:space="preserve">частью 1 статьи 15</w:t>
      </w:r>
      <w:r>
        <w:rPr>
          <w:sz w:val="24"/>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г) утратил силу. - </w:t>
      </w:r>
      <w:r>
        <w:rPr>
          <w:sz w:val="24"/>
        </w:rPr>
        <w:t xml:space="preserve">Постановление</w:t>
      </w:r>
      <w:r>
        <w:rPr>
          <w:sz w:val="24"/>
        </w:rPr>
        <w:t xml:space="preserve"> Правительства РФ от 27.10.2025 N 1664.</w:t>
      </w:r>
    </w:p>
    <w:p>
      <w:pPr>
        <w:pStyle w:val="0"/>
        <w:jc w:val="both"/>
      </w:pPr>
      <w:r>
        <w:rPr>
          <w:sz w:val="24"/>
        </w:rPr>
        <w:t xml:space="preserve">(п. 26 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26(1). Копии документов,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заверяются руководителем организации, реализующей проект.</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Документы, предусмотренные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пунктом 26</w:t>
        </w:r>
      </w:hyperlink>
      <w:r>
        <w:rPr>
          <w:sz w:val="24"/>
        </w:rPr>
        <w:t xml:space="preserve"> настоящих Правил, могут представляться в Министерство экономического развития Российской Федерации до ввода в эксплуатацию системы "Капиталовложения" (вторая очередь) в одном экземпляре на бумажном носителе и в одном экземпляре на электронном носителе, а с даты ввода в эксплуатацию системы "Капиталовложения" (вторая очередь) - с использованием системы "Капиталовложения".</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jc w:val="both"/>
      </w:pPr>
      <w:r>
        <w:rPr>
          <w:sz w:val="24"/>
        </w:rPr>
        <w:t xml:space="preserve">(п. 26(1) введен </w:t>
      </w:r>
      <w:r>
        <w:rPr>
          <w:sz w:val="24"/>
        </w:rPr>
        <w:t xml:space="preserve">Постановлением</w:t>
      </w:r>
      <w:r>
        <w:rPr>
          <w:sz w:val="24"/>
        </w:rPr>
        <w:t xml:space="preserve"> Правительства РФ от 05.12.2022 N 2232)</w:t>
      </w:r>
    </w:p>
    <w:bookmarkStart w:id="383" w:name="P383"/>
    <w:bookmarkEnd w:id="383"/>
    <w:p>
      <w:pPr>
        <w:pStyle w:val="0"/>
        <w:spacing w:before="240" w:line-rule="auto"/>
        <w:ind w:firstLine="540"/>
        <w:jc w:val="both"/>
      </w:pPr>
      <w:r>
        <w:rPr>
          <w:sz w:val="24"/>
        </w:rPr>
        <w:t xml:space="preserve">26(2). Министерство экономического развития Российской Федерации в течение 20 рабочих дней со дня получения заявления и документов,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осуществляет их проверку на соответствие перечню документов,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w:t>
      </w:r>
    </w:p>
    <w:p>
      <w:pPr>
        <w:pStyle w:val="0"/>
        <w:spacing w:before="240" w:line-rule="auto"/>
        <w:ind w:firstLine="540"/>
        <w:jc w:val="both"/>
      </w:pPr>
      <w:r>
        <w:rPr>
          <w:sz w:val="24"/>
        </w:rPr>
        <w:t xml:space="preserve">В случае несоответствия представленных документов перечню документов,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Министерство экономического развития Российской Федерации подготавливает письмо о невозможности последующего предоставления субсидии.</w:t>
      </w:r>
    </w:p>
    <w:p>
      <w:pPr>
        <w:pStyle w:val="0"/>
        <w:spacing w:before="240" w:line-rule="auto"/>
        <w:ind w:firstLine="540"/>
        <w:jc w:val="both"/>
      </w:pPr>
      <w:r>
        <w:rPr>
          <w:sz w:val="24"/>
        </w:rPr>
        <w:t xml:space="preserve">При этом организация, реализующая проект, не позднее 1 апреля года, предшествующего году предполагаемой даты начала предоставления субсидии, вправе повторно подать документы в Министерство экономического развития Российской Федерации после устранения причин невозможности последующего предоставления субсидии.</w:t>
      </w:r>
    </w:p>
    <w:p>
      <w:pPr>
        <w:pStyle w:val="0"/>
        <w:jc w:val="both"/>
      </w:pPr>
      <w:r>
        <w:rPr>
          <w:sz w:val="24"/>
        </w:rPr>
        <w:t xml:space="preserve">(п. 26(2)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26(3). Возмещение затрат, указанных в </w:t>
      </w:r>
      <w:r>
        <w:rPr>
          <w:sz w:val="24"/>
        </w:rPr>
        <w:t xml:space="preserve">части 1 статьи 15</w:t>
      </w:r>
      <w:r>
        <w:rPr>
          <w:sz w:val="24"/>
        </w:rPr>
        <w:t xml:space="preserve"> Федерального закона, осуществляется при наличии следующих заключений:</w:t>
      </w:r>
    </w:p>
    <w:p>
      <w:pPr>
        <w:pStyle w:val="0"/>
        <w:spacing w:before="240" w:line-rule="auto"/>
        <w:ind w:firstLine="540"/>
        <w:jc w:val="both"/>
      </w:pPr>
      <w:r>
        <w:rPr>
          <w:sz w:val="24"/>
        </w:rPr>
        <w:t xml:space="preserve">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со </w:t>
      </w:r>
      <w:r>
        <w:rPr>
          <w:sz w:val="24"/>
        </w:rPr>
        <w:t xml:space="preserve">статьей 15</w:t>
      </w:r>
      <w:r>
        <w:rPr>
          <w:sz w:val="24"/>
        </w:rPr>
        <w:t xml:space="preserve"> Федерального закона;</w:t>
      </w:r>
    </w:p>
    <w:p>
      <w:pPr>
        <w:pStyle w:val="0"/>
        <w:spacing w:before="240" w:line-rule="auto"/>
        <w:ind w:firstLine="540"/>
        <w:jc w:val="both"/>
      </w:pPr>
      <w:r>
        <w:rPr>
          <w:sz w:val="24"/>
        </w:rPr>
        <w:t xml:space="preserve">положительное заключение о проведении технологического аудита,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r>
        <w:rPr>
          <w:sz w:val="24"/>
        </w:rPr>
        <w:t xml:space="preserve">частью 1 статьи 15</w:t>
      </w:r>
      <w:r>
        <w:rPr>
          <w:sz w:val="24"/>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заключение Федерального казначейства о фактически понесенных затратах, указанных в </w:t>
      </w:r>
      <w:r>
        <w:rPr>
          <w:sz w:val="24"/>
        </w:rPr>
        <w:t xml:space="preserve">части 1 статьи 15</w:t>
      </w:r>
      <w:r>
        <w:rPr>
          <w:sz w:val="24"/>
        </w:rPr>
        <w:t xml:space="preserve"> Федерального закона.</w:t>
      </w:r>
    </w:p>
    <w:p>
      <w:pPr>
        <w:pStyle w:val="0"/>
        <w:jc w:val="both"/>
      </w:pPr>
      <w:r>
        <w:rPr>
          <w:sz w:val="24"/>
        </w:rPr>
        <w:t xml:space="preserve">(п. 26(3) введен </w:t>
      </w:r>
      <w:r>
        <w:rPr>
          <w:sz w:val="24"/>
        </w:rPr>
        <w:t xml:space="preserve">Постановлением</w:t>
      </w:r>
      <w:r>
        <w:rPr>
          <w:sz w:val="24"/>
        </w:rPr>
        <w:t xml:space="preserve"> Правительства РФ от 27.10.2025 N 1664)</w:t>
      </w:r>
    </w:p>
    <w:bookmarkStart w:id="393" w:name="P393"/>
    <w:bookmarkEnd w:id="393"/>
    <w:p>
      <w:pPr>
        <w:pStyle w:val="0"/>
        <w:spacing w:before="240" w:line-rule="auto"/>
        <w:ind w:firstLine="540"/>
        <w:jc w:val="both"/>
      </w:pPr>
      <w:r>
        <w:rPr>
          <w:sz w:val="24"/>
        </w:rPr>
        <w:t xml:space="preserve">26(4). Министерство экономического развития Российской Федерации без направления запросов в заинтересованные органы власти и организации осуществляет проверку организации, реализующей проект, на соответствие следующим требованиям:</w:t>
      </w:r>
    </w:p>
    <w:p>
      <w:pPr>
        <w:pStyle w:val="0"/>
        <w:spacing w:before="240" w:line-rule="auto"/>
        <w:ind w:firstLine="540"/>
        <w:jc w:val="both"/>
      </w:pPr>
      <w:r>
        <w:rPr>
          <w:sz w:val="24"/>
        </w:rPr>
        <w:t xml:space="preserve">а) организация, реализующая проект, не находится в процессе реорганизации, ликвидации, в отношении ее не введена процедура банкротства,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б) организация, реализующая проект, соответствует требованию, указанному в </w:t>
      </w:r>
      <w:r>
        <w:rPr>
          <w:sz w:val="24"/>
        </w:rPr>
        <w:t xml:space="preserve">части 1.1 статьи 15</w:t>
      </w:r>
      <w:r>
        <w:rPr>
          <w:sz w:val="24"/>
        </w:rPr>
        <w:t xml:space="preserve"> Федерального закона;</w:t>
      </w:r>
    </w:p>
    <w:p>
      <w:pPr>
        <w:pStyle w:val="0"/>
        <w:spacing w:before="240" w:line-rule="auto"/>
        <w:ind w:firstLine="540"/>
        <w:jc w:val="both"/>
      </w:pPr>
      <w:r>
        <w:rPr>
          <w:sz w:val="24"/>
        </w:rPr>
        <w:t xml:space="preserve">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pPr>
        <w:pStyle w:val="0"/>
        <w:jc w:val="both"/>
      </w:pPr>
      <w:r>
        <w:rPr>
          <w:sz w:val="24"/>
        </w:rPr>
        <w:t xml:space="preserve">(п. 26(4) введен </w:t>
      </w:r>
      <w:r>
        <w:rPr>
          <w:sz w:val="24"/>
        </w:rPr>
        <w:t xml:space="preserve">Постановлением</w:t>
      </w:r>
      <w:r>
        <w:rPr>
          <w:sz w:val="24"/>
        </w:rPr>
        <w:t xml:space="preserve"> Правительства РФ от 27.10.2025 N 1664)</w:t>
      </w:r>
    </w:p>
    <w:bookmarkStart w:id="398" w:name="P398"/>
    <w:bookmarkEnd w:id="398"/>
    <w:p>
      <w:pPr>
        <w:pStyle w:val="0"/>
        <w:spacing w:before="240" w:line-rule="auto"/>
        <w:ind w:firstLine="540"/>
        <w:jc w:val="both"/>
      </w:pPr>
      <w:r>
        <w:rPr>
          <w:sz w:val="24"/>
        </w:rPr>
        <w:t xml:space="preserve">27. Министерство экономического развития Российской Федерации путем направления запросов в заинтересованные органы власти и организации осуществляет:</w:t>
      </w:r>
    </w:p>
    <w:bookmarkStart w:id="399" w:name="P399"/>
    <w:bookmarkEnd w:id="399"/>
    <w:p>
      <w:pPr>
        <w:pStyle w:val="0"/>
        <w:spacing w:before="240" w:line-rule="auto"/>
        <w:ind w:firstLine="540"/>
        <w:jc w:val="both"/>
      </w:pPr>
      <w:r>
        <w:rPr>
          <w:sz w:val="24"/>
        </w:rPr>
        <w:t xml:space="preserve">а) проверку организации, реализующей проект, на соответствие следующим требованиям:</w:t>
      </w:r>
    </w:p>
    <w:p>
      <w:pPr>
        <w:pStyle w:val="0"/>
        <w:spacing w:before="240" w:line-rule="auto"/>
        <w:ind w:firstLine="540"/>
        <w:jc w:val="both"/>
      </w:pPr>
      <w:r>
        <w:rPr>
          <w:sz w:val="24"/>
        </w:rPr>
        <w:t xml:space="preserve">отсутствие у организации, реализующей проект,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ввозных таможенных пошлин, подлежащих уплате в соответствии с правом Евразийского экономического союза, законодательством Российской Федерации о таможенном регулировании;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отсутствие у организации, реализующей проект,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абзацы шестой - седьмой утратили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б) проверку в соответствии с </w:t>
      </w:r>
      <w:r>
        <w:rPr>
          <w:sz w:val="24"/>
        </w:rPr>
        <w:t xml:space="preserve">частью 18 статьи 15</w:t>
      </w:r>
      <w:r>
        <w:rPr>
          <w:sz w:val="24"/>
        </w:rPr>
        <w:t xml:space="preserve">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федерального бюджета (бюджета субъекта Российской Федерации, местного бюджета)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в) проверку отсутствия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r>
        <w:rPr>
          <w:sz w:val="24"/>
        </w:rPr>
        <w:t xml:space="preserve">части 20 статьи 15</w:t>
      </w:r>
      <w:r>
        <w:rPr>
          <w:sz w:val="24"/>
        </w:rPr>
        <w:t xml:space="preserve"> Федерального закона), проверку готовности принять на баланс созданный объект инфраструктуры (в случае применимости);</w:t>
      </w:r>
    </w:p>
    <w:p>
      <w:pPr>
        <w:pStyle w:val="0"/>
        <w:spacing w:before="240" w:line-rule="auto"/>
        <w:ind w:firstLine="540"/>
        <w:jc w:val="both"/>
      </w:pPr>
      <w:r>
        <w:rPr>
          <w:sz w:val="24"/>
        </w:rPr>
        <w:t xml:space="preserve">г) 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bookmarkStart w:id="410" w:name="P410"/>
    <w:bookmarkEnd w:id="410"/>
    <w:p>
      <w:pPr>
        <w:pStyle w:val="0"/>
        <w:spacing w:before="240" w:line-rule="auto"/>
        <w:ind w:firstLine="540"/>
        <w:jc w:val="both"/>
      </w:pPr>
      <w:r>
        <w:rPr>
          <w:sz w:val="24"/>
        </w:rPr>
        <w:t xml:space="preserve">д) проверку отсутствия (наличия) средств, полученных из бюджетов бюджетной системы Российской Федерации, в случае предоставления мер прямой государственной поддержки в отношении проекта, по которому предполагается предоставление меры государственной поддержки, предусмотренной </w:t>
      </w:r>
      <w:r>
        <w:rPr>
          <w:sz w:val="24"/>
        </w:rPr>
        <w:t xml:space="preserve">частью 1 статьи 15</w:t>
      </w:r>
      <w:r>
        <w:rPr>
          <w:sz w:val="24"/>
        </w:rPr>
        <w:t xml:space="preserve"> Федерального закона;</w:t>
      </w:r>
    </w:p>
    <w:p>
      <w:pPr>
        <w:pStyle w:val="0"/>
        <w:jc w:val="both"/>
      </w:pPr>
      <w:r>
        <w:rPr>
          <w:sz w:val="24"/>
        </w:rPr>
        <w:t xml:space="preserve">(пп. "д" в ред. </w:t>
      </w:r>
      <w:r>
        <w:rPr>
          <w:sz w:val="24"/>
        </w:rPr>
        <w:t xml:space="preserve">Постановления</w:t>
      </w:r>
      <w:r>
        <w:rPr>
          <w:sz w:val="24"/>
        </w:rPr>
        <w:t xml:space="preserve"> Правительства РФ от 27.10.2025 N 1664)</w:t>
      </w:r>
    </w:p>
    <w:bookmarkStart w:id="412" w:name="P412"/>
    <w:bookmarkEnd w:id="412"/>
    <w:p>
      <w:pPr>
        <w:pStyle w:val="0"/>
        <w:spacing w:before="240" w:line-rule="auto"/>
        <w:ind w:firstLine="540"/>
        <w:jc w:val="both"/>
      </w:pPr>
      <w:r>
        <w:rPr>
          <w:sz w:val="24"/>
        </w:rPr>
        <w:t xml:space="preserve">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history="0" w:anchor="P135" w:tooltip="4. Субсидии предоставляются в целях возмещения организациям, реализующим проекты, затрат:">
        <w:r>
          <w:rPr>
            <w:sz w:val="24"/>
            <w:color w:val="0000ff"/>
          </w:rPr>
          <w:t xml:space="preserve">пунктом 4</w:t>
        </w:r>
      </w:hyperlink>
      <w:r>
        <w:rPr>
          <w:sz w:val="24"/>
        </w:rPr>
        <w:t xml:space="preserve"> настоящих Правил;</w:t>
      </w:r>
    </w:p>
    <w:bookmarkStart w:id="413" w:name="P413"/>
    <w:bookmarkEnd w:id="413"/>
    <w:p>
      <w:pPr>
        <w:pStyle w:val="0"/>
        <w:spacing w:before="240" w:line-rule="auto"/>
        <w:ind w:firstLine="540"/>
        <w:jc w:val="both"/>
      </w:pPr>
      <w:r>
        <w:rPr>
          <w:sz w:val="24"/>
        </w:rPr>
        <w:t xml:space="preserve">ж) проверку фактически понесенных затрат организации, реализующей проект, в рамках проекта;</w:t>
      </w:r>
    </w:p>
    <w:p>
      <w:pPr>
        <w:pStyle w:val="0"/>
        <w:jc w:val="both"/>
      </w:pPr>
      <w:r>
        <w:rPr>
          <w:sz w:val="24"/>
        </w:rPr>
        <w:t xml:space="preserve">(пп. "ж" введен </w:t>
      </w:r>
      <w:r>
        <w:rPr>
          <w:sz w:val="24"/>
        </w:rPr>
        <w:t xml:space="preserve">Постановлением</w:t>
      </w:r>
      <w:r>
        <w:rPr>
          <w:sz w:val="24"/>
        </w:rPr>
        <w:t xml:space="preserve"> Правительства РФ от 27.10.2025 N 1664)</w:t>
      </w:r>
    </w:p>
    <w:bookmarkStart w:id="415" w:name="P415"/>
    <w:bookmarkEnd w:id="415"/>
    <w:p>
      <w:pPr>
        <w:pStyle w:val="0"/>
        <w:spacing w:before="240" w:line-rule="auto"/>
        <w:ind w:firstLine="540"/>
        <w:jc w:val="both"/>
      </w:pPr>
      <w:r>
        <w:rPr>
          <w:sz w:val="24"/>
        </w:rPr>
        <w:t xml:space="preserve">з) проверку наличия действующего договора о комплексном развитии территории (если применимо).</w:t>
      </w:r>
    </w:p>
    <w:p>
      <w:pPr>
        <w:pStyle w:val="0"/>
        <w:jc w:val="both"/>
      </w:pPr>
      <w:r>
        <w:rPr>
          <w:sz w:val="24"/>
        </w:rPr>
        <w:t xml:space="preserve">(пп. "з" введен </w:t>
      </w:r>
      <w:r>
        <w:rPr>
          <w:sz w:val="24"/>
        </w:rPr>
        <w:t xml:space="preserve">Постановлением</w:t>
      </w:r>
      <w:r>
        <w:rPr>
          <w:sz w:val="24"/>
        </w:rPr>
        <w:t xml:space="preserve"> Правительства РФ от 27.10.2025 N 1664)</w:t>
      </w:r>
    </w:p>
    <w:p>
      <w:pPr>
        <w:pStyle w:val="0"/>
        <w:jc w:val="both"/>
      </w:pPr>
      <w:r>
        <w:rPr>
          <w:sz w:val="24"/>
        </w:rPr>
        <w:t xml:space="preserve">(п. 27 в ред. </w:t>
      </w:r>
      <w:r>
        <w:rPr>
          <w:sz w:val="24"/>
        </w:rPr>
        <w:t xml:space="preserve">Постановления</w:t>
      </w:r>
      <w:r>
        <w:rPr>
          <w:sz w:val="24"/>
        </w:rPr>
        <w:t xml:space="preserve"> Правительства РФ от 05.12.2022 N 2232)</w:t>
      </w:r>
    </w:p>
    <w:bookmarkStart w:id="418" w:name="P418"/>
    <w:bookmarkEnd w:id="418"/>
    <w:p>
      <w:pPr>
        <w:pStyle w:val="0"/>
        <w:spacing w:before="240" w:line-rule="auto"/>
        <w:ind w:firstLine="540"/>
        <w:jc w:val="both"/>
      </w:pPr>
      <w:r>
        <w:rPr>
          <w:sz w:val="24"/>
        </w:rPr>
        <w:t xml:space="preserve">27(1). Министерство экономического развития Российской Федерации в случае соответствия представленных документов перечню документов,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в течение 5 рабочих дней после дня осуществления в соответствии с </w:t>
      </w:r>
      <w:hyperlink w:history="0" w:anchor="P383" w:tooltip="26(2). Министерство экономического развития Российской Федерации в течение 20 рабочих дней со дня получения заявления и документов, указанных в пункте 26 настоящих Правил, осуществляет их проверку на соответствие перечню документов, указанных в пункте 26 настоящих Правил.">
        <w:r>
          <w:rPr>
            <w:sz w:val="24"/>
            <w:color w:val="0000ff"/>
          </w:rPr>
          <w:t xml:space="preserve">абзацем первым пункта 26(2)</w:t>
        </w:r>
      </w:hyperlink>
      <w:r>
        <w:rPr>
          <w:sz w:val="24"/>
        </w:rPr>
        <w:t xml:space="preserve"> настоящих Правил проверки заявления и документов, представленных организацией, реализующей проект, подготавливает запросы, указанные в </w:t>
      </w:r>
      <w:hyperlink w:history="0" w:anchor="P398" w:tooltip="27. Министерство экономического развития Российской Федерации путем направления запросов в заинтересованные органы власти и организации осуществляет:">
        <w:r>
          <w:rPr>
            <w:sz w:val="24"/>
            <w:color w:val="0000ff"/>
          </w:rPr>
          <w:t xml:space="preserve">пункте 27</w:t>
        </w:r>
      </w:hyperlink>
      <w:r>
        <w:rPr>
          <w:sz w:val="24"/>
        </w:rPr>
        <w:t xml:space="preserve"> настоящих Правил, а также передает такие заявление и документы в уполномоченную организацию и Федеральное казначейство.</w:t>
      </w:r>
    </w:p>
    <w:bookmarkStart w:id="419" w:name="P419"/>
    <w:bookmarkEnd w:id="419"/>
    <w:p>
      <w:pPr>
        <w:pStyle w:val="0"/>
        <w:spacing w:before="240" w:line-rule="auto"/>
        <w:ind w:firstLine="540"/>
        <w:jc w:val="both"/>
      </w:pPr>
      <w:r>
        <w:rPr>
          <w:sz w:val="24"/>
        </w:rPr>
        <w:t xml:space="preserve">Ответы на запросы, направленные в целях осуществления проверок, указанных в </w:t>
      </w:r>
      <w:hyperlink w:history="0" w:anchor="P399" w:tooltip="а) проверку организации, реализующей проект, на соответствие следующим требованиям:">
        <w:r>
          <w:rPr>
            <w:sz w:val="24"/>
            <w:color w:val="0000ff"/>
          </w:rPr>
          <w:t xml:space="preserve">подпунктах "а"</w:t>
        </w:r>
      </w:hyperlink>
      <w:r>
        <w:rPr>
          <w:sz w:val="24"/>
        </w:rPr>
        <w:t xml:space="preserve"> - </w:t>
      </w:r>
      <w:hyperlink w:history="0" w:anchor="P412" w:tooltip="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пунктом 4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
        <w:r>
          <w:rPr>
            <w:sz w:val="24"/>
            <w:color w:val="0000ff"/>
          </w:rPr>
          <w:t xml:space="preserve">"е"</w:t>
        </w:r>
      </w:hyperlink>
      <w:r>
        <w:rPr>
          <w:sz w:val="24"/>
        </w:rPr>
        <w:t xml:space="preserve"> и </w:t>
      </w:r>
      <w:hyperlink w:history="0" w:anchor="P415" w:tooltip="з) проверку наличия действующего договора о комплексном развитии территории (если применимо).">
        <w:r>
          <w:rPr>
            <w:sz w:val="24"/>
            <w:color w:val="0000ff"/>
          </w:rPr>
          <w:t xml:space="preserve">"з" пункта 27</w:t>
        </w:r>
      </w:hyperlink>
      <w:r>
        <w:rPr>
          <w:sz w:val="24"/>
        </w:rPr>
        <w:t xml:space="preserve"> настоящих Правил, должны быть направлены заинтересованными органами власти не позднее 10 рабочих дней после дня поступления соответствующего запроса, а организациям рекомендуется направлять такие ответы в указанный срок.</w:t>
      </w:r>
    </w:p>
    <w:bookmarkStart w:id="420" w:name="P420"/>
    <w:bookmarkEnd w:id="420"/>
    <w:p>
      <w:pPr>
        <w:pStyle w:val="0"/>
        <w:spacing w:before="240" w:line-rule="auto"/>
        <w:ind w:firstLine="540"/>
        <w:jc w:val="both"/>
      </w:pPr>
      <w:r>
        <w:rPr>
          <w:sz w:val="24"/>
        </w:rPr>
        <w:t xml:space="preserve">Ответом на запрос, направленный в целях осуществления проверки, указанной в </w:t>
      </w:r>
      <w:hyperlink w:history="0" w:anchor="P413" w:tooltip="ж) проверку фактически понесенных затрат организации, реализующей проект, в рамках проекта;">
        <w:r>
          <w:rPr>
            <w:sz w:val="24"/>
            <w:color w:val="0000ff"/>
          </w:rPr>
          <w:t xml:space="preserve">подпункте "ж" пункта 27</w:t>
        </w:r>
      </w:hyperlink>
      <w:r>
        <w:rPr>
          <w:sz w:val="24"/>
        </w:rPr>
        <w:t xml:space="preserve"> настоящих Правил, является заключение Федерального казначейства о фактически понесенных затратах, указанных в </w:t>
      </w:r>
      <w:r>
        <w:rPr>
          <w:sz w:val="24"/>
        </w:rPr>
        <w:t xml:space="preserve">части 1 статьи 15</w:t>
      </w:r>
      <w:r>
        <w:rPr>
          <w:sz w:val="24"/>
        </w:rPr>
        <w:t xml:space="preserve"> Федерального закона, направленное в Министерство экономического развития Российской Федерации не позднее 15 августа года, в котором направлен запрос.</w:t>
      </w:r>
    </w:p>
    <w:p>
      <w:pPr>
        <w:pStyle w:val="0"/>
        <w:spacing w:before="240" w:line-rule="auto"/>
        <w:ind w:firstLine="540"/>
        <w:jc w:val="both"/>
      </w:pPr>
      <w:r>
        <w:rPr>
          <w:sz w:val="24"/>
        </w:rPr>
        <w:t xml:space="preserve">Министерство экономического развития Российской Федерации в течение 3 рабочих дней после дня поступления ответов от заинтересованных органов власти и организаций, указанных в </w:t>
      </w:r>
      <w:hyperlink w:history="0" w:anchor="P419" w:tooltip="Ответы на запросы, направленные в целях осуществления проверок, указанных в подпунктах &quot;а&quot; - &quot;е&quot; и &quot;з&quot; пункта 27 настоящих Правил, должны быть направлены заинтересованными органами власти не позднее 10 рабочих дней после дня поступления соответствующего запроса, а организациям рекомендуется направлять такие ответы в указанный срок.">
        <w:r>
          <w:rPr>
            <w:sz w:val="24"/>
            <w:color w:val="0000ff"/>
          </w:rPr>
          <w:t xml:space="preserve">абзацах втором</w:t>
        </w:r>
      </w:hyperlink>
      <w:r>
        <w:rPr>
          <w:sz w:val="24"/>
        </w:rPr>
        <w:t xml:space="preserve"> и </w:t>
      </w:r>
      <w:hyperlink w:history="0" w:anchor="P420" w:tooltip="Ответом на запрос, направленный в целях осуществления проверки, указанной в подпункте &quot;ж&quot; пункта 27 настоящих Правил, является заключение Федерального казначейства о фактически понесенных затратах, указанных в части 1 статьи 15 Федерального закона, направленное в Министерство экономического развития Российской Федерации не позднее 15 августа года, в котором направлен запрос.">
        <w:r>
          <w:rPr>
            <w:sz w:val="24"/>
            <w:color w:val="0000ff"/>
          </w:rPr>
          <w:t xml:space="preserve">третьем</w:t>
        </w:r>
      </w:hyperlink>
      <w:r>
        <w:rPr>
          <w:sz w:val="24"/>
        </w:rPr>
        <w:t xml:space="preserve"> настоящего пункта, передает их в уполномоченную организацию. Уполномоченная организация рассматривает заявление и документы организации, реализующей проект, переданные в соответствии с </w:t>
      </w:r>
      <w:hyperlink w:history="0" w:anchor="P418" w:tooltip="27(1). Министерство экономического развития Российской Федерации в случае соответствия представленных документов перечню документов, указанных в пункте 26 настоящих Правил, в течение 5 рабочих дней после дня осуществления в соответствии с абзацем первым пункта 26(2) настоящих Правил проверки заявления и документов, представленных организацией, реализующей проект, подготавливает запросы, указанные в пункте 27 настоящих Правил, а также передает такие заявление и документы в уполномоченную организацию и Фед...">
        <w:r>
          <w:rPr>
            <w:sz w:val="24"/>
            <w:color w:val="0000ff"/>
          </w:rPr>
          <w:t xml:space="preserve">абзацем первым</w:t>
        </w:r>
      </w:hyperlink>
      <w:r>
        <w:rPr>
          <w:sz w:val="24"/>
        </w:rPr>
        <w:t xml:space="preserve"> настоящего пункта, и ответы от заинтересованных органов власти и организаций, указанные в </w:t>
      </w:r>
      <w:hyperlink w:history="0" w:anchor="P419" w:tooltip="Ответы на запросы, направленные в целях осуществления проверок, указанных в подпунктах &quot;а&quot; - &quot;е&quot; и &quot;з&quot; пункта 27 настоящих Правил, должны быть направлены заинтересованными органами власти не позднее 10 рабочих дней после дня поступления соответствующего запроса, а организациям рекомендуется направлять такие ответы в указанный срок.">
        <w:r>
          <w:rPr>
            <w:sz w:val="24"/>
            <w:color w:val="0000ff"/>
          </w:rPr>
          <w:t xml:space="preserve">абзацах втором</w:t>
        </w:r>
      </w:hyperlink>
      <w:r>
        <w:rPr>
          <w:sz w:val="24"/>
        </w:rPr>
        <w:t xml:space="preserve"> и </w:t>
      </w:r>
      <w:hyperlink w:history="0" w:anchor="P420" w:tooltip="Ответом на запрос, направленный в целях осуществления проверки, указанной в подпункте &quot;ж&quot; пункта 27 настоящих Правил, является заключение Федерального казначейства о фактически понесенных затратах, указанных в части 1 статьи 15 Федерального закона, направленное в Министерство экономического развития Российской Федерации не позднее 15 августа года, в котором направлен запрос.">
        <w:r>
          <w:rPr>
            <w:sz w:val="24"/>
            <w:color w:val="0000ff"/>
          </w:rPr>
          <w:t xml:space="preserve">третьем</w:t>
        </w:r>
      </w:hyperlink>
      <w:r>
        <w:rPr>
          <w:sz w:val="24"/>
        </w:rPr>
        <w:t xml:space="preserve"> настоящего пункта, осуществляет проверку организации, реализующей проект, на соответствие требованиям, указанным в </w:t>
      </w:r>
      <w:hyperlink w:history="0" w:anchor="P393" w:tooltip="26(4). Министерство экономического развития Российской Федерации без направления запросов в заинтересованные органы власти и организации осуществляет проверку организации, реализующей проект, на соответствие следующим требованиям:">
        <w:r>
          <w:rPr>
            <w:sz w:val="24"/>
            <w:color w:val="0000ff"/>
          </w:rPr>
          <w:t xml:space="preserve">пункте 26(4)</w:t>
        </w:r>
      </w:hyperlink>
      <w:r>
        <w:rPr>
          <w:sz w:val="24"/>
        </w:rPr>
        <w:t xml:space="preserve"> настоящих Правил, и не позднее 25 августа года, в котором направлены указанные документы, направляет в Министерство экономического развития Российской Федерации отчет, включающий информацию об объеме меры государственной поддержки, предусмотренной </w:t>
      </w:r>
      <w:r>
        <w:rPr>
          <w:sz w:val="24"/>
        </w:rPr>
        <w:t xml:space="preserve">частью 1 статьи 15</w:t>
      </w:r>
      <w:r>
        <w:rPr>
          <w:sz w:val="24"/>
        </w:rPr>
        <w:t xml:space="preserve"> Федерального закона, в соответствии с полномочиями, определенными </w:t>
      </w:r>
      <w:hyperlink w:history="0" w:anchor="P24" w:tooltip="2(1). Передать государственной корпорации развития &quot;ВЭБ.РФ&quot;, определенной в качестве уполномоченной организации в соответствии с пунктом 3 постановления Правительства Российской Федерации от 13 сентября 2022 г. N 1602 &quot;О соглашениях о защите и поощрении капиталовложений&quot;, функции по осуществлению анализа документов, представляемых организацией, реализующей проект, информации, представляемой органами государственной власти Российской Федерации, органами государственной власти субъектов Российской Федераци...">
        <w:r>
          <w:rPr>
            <w:sz w:val="24"/>
            <w:color w:val="0000ff"/>
          </w:rPr>
          <w:t xml:space="preserve">пунктом 2.1</w:t>
        </w:r>
      </w:hyperlink>
      <w:r>
        <w:rPr>
          <w:sz w:val="24"/>
        </w:rPr>
        <w:t xml:space="preserve"> постановления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0"/>
        <w:spacing w:before="240" w:line-rule="auto"/>
        <w:ind w:firstLine="540"/>
        <w:jc w:val="both"/>
      </w:pPr>
      <w:r>
        <w:rPr>
          <w:sz w:val="24"/>
        </w:rPr>
        <w:t xml:space="preserve">В случае если по итогам рассмотрения заявления и прилагаемых к нему документов и материалов, указанных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уполномоченной организацией установлено, что к такому заявлению не приложены один или несколько необходимых документов (материалов) и (или) допущены технические ошибки при оформлении такого заявления и прилагаемых к нему документов и материалов, уполномоченная организация не позднее 30 рабочих дней после дня поступления документов от организации, реализующей проект, переданных в соответствии с </w:t>
      </w:r>
      <w:hyperlink w:history="0" w:anchor="P418" w:tooltip="27(1). Министерство экономического развития Российской Федерации в случае соответствия представленных документов перечню документов, указанных в пункте 26 настоящих Правил, в течение 5 рабочих дней после дня осуществления в соответствии с абзацем первым пункта 26(2) настоящих Правил проверки заявления и документов, представленных организацией, реализующей проект, подготавливает запросы, указанные в пункте 27 настоящих Правил, а также передает такие заявление и документы в уполномоченную организацию и Фед...">
        <w:r>
          <w:rPr>
            <w:sz w:val="24"/>
            <w:color w:val="0000ff"/>
          </w:rPr>
          <w:t xml:space="preserve">абзацем первым</w:t>
        </w:r>
      </w:hyperlink>
      <w:r>
        <w:rPr>
          <w:sz w:val="24"/>
        </w:rPr>
        <w:t xml:space="preserve"> настоящего пункта, направляет через систему "Капиталовложения" при наличии технической возможности или иным способом в Министерство экономического развития Российской Федерации уведомление о выявленных нарушениях (далее - уведомление) с указанием выявленных нарушений. Министерство экономического развития Российской Федерации не позднее 2-го рабочего дня после дня получения уведомления направляет его в организацию, реализующую проект. Организация, реализующая проект, в случае устранения выявленных нарушений не позднее 5-го рабочего дня после дня получения уведомления вправе однократно направить уточненные (исправленные) заявление и прилагаемые к нему документы и материалы, указанные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настоящих Правил, в Министерство экономического развития Российской Федерации и уполномоченную организацию.</w:t>
      </w:r>
    </w:p>
    <w:p>
      <w:pPr>
        <w:pStyle w:val="0"/>
        <w:jc w:val="both"/>
      </w:pPr>
      <w:r>
        <w:rPr>
          <w:sz w:val="24"/>
        </w:rPr>
        <w:t xml:space="preserve">(п. 27(1)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28. Утратил силу. - </w:t>
      </w:r>
      <w:r>
        <w:rPr>
          <w:sz w:val="24"/>
        </w:rPr>
        <w:t xml:space="preserve">Постановление</w:t>
      </w:r>
      <w:r>
        <w:rPr>
          <w:sz w:val="24"/>
        </w:rPr>
        <w:t xml:space="preserve"> Правительства РФ от 05.12.2022 N 2232.</w:t>
      </w:r>
    </w:p>
    <w:p>
      <w:pPr>
        <w:pStyle w:val="0"/>
        <w:spacing w:before="240" w:line-rule="auto"/>
        <w:ind w:firstLine="540"/>
        <w:jc w:val="both"/>
      </w:pPr>
      <w:r>
        <w:rPr>
          <w:sz w:val="24"/>
        </w:rPr>
        <w:t xml:space="preserve">29. Министерство экономического развития Российской Федерации на основании представленных организацией, реализующей проект, сведений о прогнозируемом объеме налогов и обязательных платежей, подлежащих уплате в федеральный бюджет в связи с реализацией проекта, а также на основании результатов мониторинга в установленном порядке осуществляет внесение предложений об объеме государственной поддержки, подлежащей возмещению в соответствии с настоящими Правилами, при составлении проекта федерального бюджета на очередной финансовый год и плановый период.</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30. Утратил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31. Субсидия предоставляется организации, реализующей проект, на основании заключенного с использованием государственной интегрированной информационной системы управления общественными финансами "Электронный бюджет" с Министерством экономического развития Российской Федерации соглашения о предоставлении субсидии, предусматривающего в том числе:</w:t>
      </w:r>
    </w:p>
    <w:p>
      <w:pPr>
        <w:pStyle w:val="0"/>
        <w:spacing w:before="240" w:line-rule="auto"/>
        <w:ind w:firstLine="540"/>
        <w:jc w:val="both"/>
      </w:pPr>
      <w:r>
        <w:rPr>
          <w:sz w:val="24"/>
        </w:rPr>
        <w:t xml:space="preserve">а) цели и условия предоставления субсидии, установленные настоящими Правилами, и размер субсидии;</w:t>
      </w:r>
    </w:p>
    <w:p>
      <w:pPr>
        <w:pStyle w:val="0"/>
        <w:spacing w:before="240" w:line-rule="auto"/>
        <w:ind w:firstLine="540"/>
        <w:jc w:val="both"/>
      </w:pPr>
      <w:r>
        <w:rPr>
          <w:sz w:val="24"/>
        </w:rPr>
        <w:t xml:space="preserve">б) права и обязанности сторон соглашения о предоставлении субсидии;</w:t>
      </w:r>
    </w:p>
    <w:p>
      <w:pPr>
        <w:pStyle w:val="0"/>
        <w:spacing w:before="240" w:line-rule="auto"/>
        <w:ind w:firstLine="540"/>
        <w:jc w:val="both"/>
      </w:pPr>
      <w:r>
        <w:rPr>
          <w:sz w:val="24"/>
        </w:rPr>
        <w:t xml:space="preserve">в) согласие организации, реализующей проект, на осуществление Министерством экономического развития Российской Федерации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г) условия расторжения соглашения о предоставлении субсидии, включая условие его одностороннего расторжения Министерством экономического развития Российской Федерации в случае нарушения организацией, реализующей проект, условий предоставления субсидии;</w:t>
      </w:r>
    </w:p>
    <w:p>
      <w:pPr>
        <w:pStyle w:val="0"/>
        <w:spacing w:before="240" w:line-rule="auto"/>
        <w:ind w:firstLine="540"/>
        <w:jc w:val="both"/>
      </w:pPr>
      <w:r>
        <w:rPr>
          <w:sz w:val="24"/>
        </w:rPr>
        <w:t xml:space="preserve">д) порядок возврата субсидии в федеральный бюджет в случае нарушения условий, установленных при предоставлении субсидии;</w:t>
      </w:r>
    </w:p>
    <w:p>
      <w:pPr>
        <w:pStyle w:val="0"/>
        <w:spacing w:before="240" w:line-rule="auto"/>
        <w:ind w:firstLine="540"/>
        <w:jc w:val="both"/>
      </w:pPr>
      <w:r>
        <w:rPr>
          <w:sz w:val="24"/>
        </w:rPr>
        <w:t xml:space="preserve">е) обязательство организации, реализующей проект, в случае расторжения федерального соглашения о защите и поощрении капиталовложений по основаниям, предусмотренным </w:t>
      </w:r>
      <w:r>
        <w:rPr>
          <w:sz w:val="24"/>
        </w:rPr>
        <w:t xml:space="preserve">частями 13</w:t>
      </w:r>
      <w:r>
        <w:rPr>
          <w:sz w:val="24"/>
        </w:rPr>
        <w:t xml:space="preserve"> и </w:t>
      </w:r>
      <w:r>
        <w:rPr>
          <w:sz w:val="24"/>
        </w:rPr>
        <w:t xml:space="preserve">14 статьи 11</w:t>
      </w:r>
      <w:r>
        <w:rPr>
          <w:sz w:val="24"/>
        </w:rPr>
        <w:t xml:space="preserve"> Федерального закона, или признания такого соглашения недействительным в соответствии с гражданским законодательством, а также в случае нарушения условий предоставления субсидии, установленных при предоставлении субсидии, возвратить в федеральный бюджет средства в размере предоставленной субсидии (в размере, использованном с допущением нарушения);</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ж) запрет приобретения организацией, реализующей проект,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pPr>
        <w:pStyle w:val="0"/>
        <w:spacing w:before="240" w:line-rule="auto"/>
        <w:ind w:firstLine="540"/>
        <w:jc w:val="both"/>
      </w:pPr>
      <w:r>
        <w:rPr>
          <w:sz w:val="24"/>
        </w:rPr>
        <w:t xml:space="preserve">з) положения, предусматривающие обязанность организации, реализующей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Министерства экономического развития Российской Федерации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w:t>
      </w:r>
    </w:p>
    <w:p>
      <w:pPr>
        <w:pStyle w:val="0"/>
        <w:spacing w:before="240" w:line-rule="auto"/>
        <w:ind w:firstLine="540"/>
        <w:jc w:val="both"/>
      </w:pPr>
      <w:r>
        <w:rPr>
          <w:sz w:val="24"/>
        </w:rPr>
        <w:t xml:space="preserve">и) порядок, формы и сроки представления отчетности о выполнении условий соглашения о предоставлении субсидии;</w:t>
      </w:r>
    </w:p>
    <w:p>
      <w:pPr>
        <w:pStyle w:val="0"/>
        <w:spacing w:before="240" w:line-rule="auto"/>
        <w:ind w:firstLine="540"/>
        <w:jc w:val="both"/>
      </w:pPr>
      <w:r>
        <w:rPr>
          <w:sz w:val="24"/>
        </w:rPr>
        <w:t xml:space="preserve">к) обязательство организации, реализующей проект, соблюдать порядок и условия предоставления субсидии, установленные настоящими Правилами.</w:t>
      </w:r>
    </w:p>
    <w:p>
      <w:pPr>
        <w:pStyle w:val="0"/>
        <w:jc w:val="both"/>
      </w:pPr>
      <w:r>
        <w:rPr>
          <w:sz w:val="24"/>
        </w:rPr>
        <w:t xml:space="preserve">(п. 31 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32. Утратил силу. - </w:t>
      </w:r>
      <w:r>
        <w:rPr>
          <w:sz w:val="24"/>
        </w:rPr>
        <w:t xml:space="preserve">Постановление</w:t>
      </w:r>
      <w:r>
        <w:rPr>
          <w:sz w:val="24"/>
        </w:rPr>
        <w:t xml:space="preserve"> Правительства РФ от 05.12.2022 N 2232.</w:t>
      </w:r>
    </w:p>
    <w:bookmarkStart w:id="442" w:name="P442"/>
    <w:bookmarkEnd w:id="442"/>
    <w:p>
      <w:pPr>
        <w:pStyle w:val="0"/>
        <w:spacing w:before="240" w:line-rule="auto"/>
        <w:ind w:firstLine="540"/>
        <w:jc w:val="both"/>
      </w:pPr>
      <w:r>
        <w:rPr>
          <w:sz w:val="24"/>
        </w:rPr>
        <w:t xml:space="preserve">33. Для заключения соглашения о предоставлении субсидии организация, реализующая проект, представляет в Министерство экономического развития Российской Федерации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(в свободной форме), включающее расчет объема возмещения затрат, указанных в </w:t>
      </w:r>
      <w:r>
        <w:rPr>
          <w:sz w:val="24"/>
        </w:rPr>
        <w:t xml:space="preserve">части 1 статьи 15</w:t>
      </w:r>
      <w:r>
        <w:rPr>
          <w:sz w:val="24"/>
        </w:rPr>
        <w:t xml:space="preserve"> Федерального закона, с учетом мер прямой государственной поддержки за отчетный финансовый год.</w:t>
      </w:r>
    </w:p>
    <w:p>
      <w:pPr>
        <w:pStyle w:val="0"/>
        <w:spacing w:before="240" w:line-rule="auto"/>
        <w:ind w:firstLine="540"/>
        <w:jc w:val="both"/>
      </w:pPr>
      <w:r>
        <w:rPr>
          <w:sz w:val="24"/>
        </w:rPr>
        <w:t xml:space="preserve">Наряду с заявлением, указанным в </w:t>
      </w:r>
      <w:hyperlink w:history="0" w:anchor="P442" w:tooltip="33. Для заключения соглашения о предоставлении субсидии организация, реализующая проект, представляет в Министерство экономического развития Российской Федерации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в свободной форме), включающее расчет объема возмещения затрат, указанных в части 1 статьи 15 Федерального закона, с учетом мер прямой государственной поддержки за отчетный финансовый год.">
        <w:r>
          <w:rPr>
            <w:sz w:val="24"/>
            <w:color w:val="0000ff"/>
          </w:rPr>
          <w:t xml:space="preserve">абзаце первом</w:t>
        </w:r>
      </w:hyperlink>
      <w:r>
        <w:rPr>
          <w:sz w:val="24"/>
        </w:rPr>
        <w:t xml:space="preserve"> настоящего пункта, организация, реализующая проект, может представить сведения для заключения соглашения о предоставлении субсидии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Министерство экономического развития Российской Федерации в течение 3 рабочих дней после дня представления организацией, реализующей проект, заявления, указанного в </w:t>
      </w:r>
      <w:hyperlink w:history="0" w:anchor="P442" w:tooltip="33. Для заключения соглашения о предоставлении субсидии организация, реализующая проект, представляет в Министерство экономического развития Российской Федерации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в свободной форме), включающее расчет объема возмещения затрат, указанных в части 1 статьи 15 Федерального закона, с учетом мер прямой государственной поддержки за отчетный финансовый год.">
        <w:r>
          <w:rPr>
            <w:sz w:val="24"/>
            <w:color w:val="0000ff"/>
          </w:rPr>
          <w:t xml:space="preserve">абзаце первом</w:t>
        </w:r>
      </w:hyperlink>
      <w:r>
        <w:rPr>
          <w:sz w:val="24"/>
        </w:rPr>
        <w:t xml:space="preserve"> настоящего пункта, направляет запросы в заинтересованные органы власти и организации в целях осуществления проверки, указанной в </w:t>
      </w:r>
      <w:hyperlink w:history="0" w:anchor="P399" w:tooltip="а) проверку организации, реализующей проект, на соответствие следующим требованиям:">
        <w:r>
          <w:rPr>
            <w:sz w:val="24"/>
            <w:color w:val="0000ff"/>
          </w:rPr>
          <w:t xml:space="preserve">подпунктах "а"</w:t>
        </w:r>
      </w:hyperlink>
      <w:r>
        <w:rPr>
          <w:sz w:val="24"/>
        </w:rPr>
        <w:t xml:space="preserve"> и </w:t>
      </w:r>
      <w:hyperlink w:history="0" w:anchor="P410" w:tooltip="д) проверку отсутствия (наличия) средств, полученных из бюджетов бюджетной системы Российской Федерации, в случае предоставления мер прямой государственной поддержки в отношении проекта, по которому предполагается предоставление меры государственной поддержки, предусмотренной частью 1 статьи 15 Федерального закона;">
        <w:r>
          <w:rPr>
            <w:sz w:val="24"/>
            <w:color w:val="0000ff"/>
          </w:rPr>
          <w:t xml:space="preserve">"д" пункта 27</w:t>
        </w:r>
      </w:hyperlink>
      <w:r>
        <w:rPr>
          <w:sz w:val="24"/>
        </w:rPr>
        <w:t xml:space="preserve"> настоящих Правил.</w:t>
      </w:r>
    </w:p>
    <w:p>
      <w:pPr>
        <w:pStyle w:val="0"/>
        <w:spacing w:before="240" w:line-rule="auto"/>
        <w:ind w:firstLine="540"/>
        <w:jc w:val="both"/>
      </w:pPr>
      <w:r>
        <w:rPr>
          <w:sz w:val="24"/>
        </w:rPr>
        <w:t xml:space="preserve">Ответы на запросы Министерства экономического развития Российской Федерации должны быть направлены заинтересованными органами власти не позднее 10 рабочих дней после дня получения таких запросов, а организациям рекомендуется направлять такие ответы в указанный срок.</w:t>
      </w:r>
    </w:p>
    <w:p>
      <w:pPr>
        <w:pStyle w:val="0"/>
        <w:spacing w:before="240" w:line-rule="auto"/>
        <w:ind w:firstLine="540"/>
        <w:jc w:val="both"/>
      </w:pPr>
      <w:r>
        <w:rPr>
          <w:sz w:val="24"/>
        </w:rPr>
        <w:t xml:space="preserve">Министерство экономического развития Российской Федерации в течение 3 рабочих дней после дня получения информации от заинтересованных органов власти и организаций направляет заявление организации, реализующей проект, и полученную информацию от заинтересованных органов власти и организаций в уполномоченную организацию.</w:t>
      </w:r>
    </w:p>
    <w:p>
      <w:pPr>
        <w:pStyle w:val="0"/>
        <w:spacing w:before="240" w:line-rule="auto"/>
        <w:ind w:firstLine="540"/>
        <w:jc w:val="both"/>
      </w:pPr>
      <w:r>
        <w:rPr>
          <w:sz w:val="24"/>
        </w:rPr>
        <w:t xml:space="preserve">Уполномоченная организация в течение 10 рабочих дней после дня получения от Министерства экономического развития Российской Федерации заявления организации, реализующей проект, и документов по результатам проверок, указанных в </w:t>
      </w:r>
      <w:hyperlink w:history="0" w:anchor="P399" w:tooltip="а) проверку организации, реализующей проект, на соответствие следующим требованиям:">
        <w:r>
          <w:rPr>
            <w:sz w:val="24"/>
            <w:color w:val="0000ff"/>
          </w:rPr>
          <w:t xml:space="preserve">подпунктах "а"</w:t>
        </w:r>
      </w:hyperlink>
      <w:r>
        <w:rPr>
          <w:sz w:val="24"/>
        </w:rPr>
        <w:t xml:space="preserve"> и </w:t>
      </w:r>
      <w:hyperlink w:history="0" w:anchor="P410" w:tooltip="д) проверку отсутствия (наличия) средств, полученных из бюджетов бюджетной системы Российской Федерации, в случае предоставления мер прямой государственной поддержки в отношении проекта, по которому предполагается предоставление меры государственной поддержки, предусмотренной частью 1 статьи 15 Федерального закона;">
        <w:r>
          <w:rPr>
            <w:sz w:val="24"/>
            <w:color w:val="0000ff"/>
          </w:rPr>
          <w:t xml:space="preserve">"д" пункта 27</w:t>
        </w:r>
      </w:hyperlink>
      <w:r>
        <w:rPr>
          <w:sz w:val="24"/>
        </w:rPr>
        <w:t xml:space="preserve"> настоящих Правил, осуществляет проверку организации, реализующей проект, на соответствие требованиям, указанным в </w:t>
      </w:r>
      <w:hyperlink w:history="0" w:anchor="P393" w:tooltip="26(4). Министерство экономического развития Российской Федерации без направления запросов в заинтересованные органы власти и организации осуществляет проверку организации, реализующей проект, на соответствие следующим требованиям:">
        <w:r>
          <w:rPr>
            <w:sz w:val="24"/>
            <w:color w:val="0000ff"/>
          </w:rPr>
          <w:t xml:space="preserve">пункте 26(4)</w:t>
        </w:r>
      </w:hyperlink>
      <w:r>
        <w:rPr>
          <w:sz w:val="24"/>
        </w:rPr>
        <w:t xml:space="preserve"> настоящих Правил, и направляет в Министерство экономического развития Российской Федерации отчет, включающий информацию об объеме меры государственной поддержки, предусмотренной </w:t>
      </w:r>
      <w:r>
        <w:rPr>
          <w:sz w:val="24"/>
        </w:rPr>
        <w:t xml:space="preserve">частью 1 статьи 15</w:t>
      </w:r>
      <w:r>
        <w:rPr>
          <w:sz w:val="24"/>
        </w:rPr>
        <w:t xml:space="preserve"> Федерального закона, в соответствии с полномочиями, определенными </w:t>
      </w:r>
      <w:hyperlink w:history="0" w:anchor="P24" w:tooltip="2(1). Передать государственной корпорации развития &quot;ВЭБ.РФ&quot;, определенной в качестве уполномоченной организации в соответствии с пунктом 3 постановления Правительства Российской Федерации от 13 сентября 2022 г. N 1602 &quot;О соглашениях о защите и поощрении капиталовложений&quot;, функции по осуществлению анализа документов, представляемых организацией, реализующей проект, информации, представляемой органами государственной власти Российской Федерации, органами государственной власти субъектов Российской Федераци...">
        <w:r>
          <w:rPr>
            <w:sz w:val="24"/>
            <w:color w:val="0000ff"/>
          </w:rPr>
          <w:t xml:space="preserve">пунктом 2(1)</w:t>
        </w:r>
      </w:hyperlink>
      <w:r>
        <w:rPr>
          <w:sz w:val="24"/>
        </w:rPr>
        <w:t xml:space="preserve"> постановления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(п. 33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34. Предоставление субсидии организации, реализующей проект, осуществляется в году, следующем за годом обращения организации, реализующей проект, за возмещением затрат. Для предоставления субсидии организация, реализующая проект, заключает соглашение о предоставлении субсидии с Министерством экономического развития Российской Федерации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Предоставление субсидии осуществляется не позднее 28-го числа 3-го месяца, следующего за предельным сроком подачи заявления о заключении соглашения о предоставлении субсидии, указанного в </w:t>
      </w:r>
      <w:hyperlink w:history="0" w:anchor="P442" w:tooltip="33. Для заключения соглашения о предоставлении субсидии организация, реализующая проект, представляет в Министерство экономического развития Российской Федерации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в свободной форме), включающее расчет объема возмещения затрат, указанных в части 1 статьи 15 Федерального закона, с учетом мер прямой государственной поддержки за отчетный финансовый год.">
        <w:r>
          <w:rPr>
            <w:sz w:val="24"/>
            <w:color w:val="0000ff"/>
          </w:rPr>
          <w:t xml:space="preserve">пункте 33</w:t>
        </w:r>
      </w:hyperlink>
      <w:r>
        <w:rPr>
          <w:sz w:val="24"/>
        </w:rPr>
        <w:t xml:space="preserve"> настоящих Правил, в размере, определенном с учетом положений </w:t>
      </w:r>
      <w:hyperlink w:history="0" w:anchor="P250" w:tooltip="22. Предельный объем возмещаемых затрат не может превышать:">
        <w:r>
          <w:rPr>
            <w:sz w:val="24"/>
            <w:color w:val="0000ff"/>
          </w:rPr>
          <w:t xml:space="preserve">пункта 22</w:t>
        </w:r>
      </w:hyperlink>
      <w:r>
        <w:rPr>
          <w:sz w:val="24"/>
        </w:rPr>
        <w:t xml:space="preserve"> настоящих Правил, не превышающем размера обязательных платежей, фактически уплаченных организацией, реализующей проект, в федеральный бюджет в связи с реализацией проекта в отчетном финансовом году.</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Субсидия предоставляется ежегодно при предоставлении организацией, реализующей проект, заявления, указанного в </w:t>
      </w:r>
      <w:hyperlink w:history="0" w:anchor="P442" w:tooltip="33. Для заключения соглашения о предоставлении субсидии организация, реализующая проект, представляет в Министерство экономического развития Российской Федерации не чаще одного раза в год и не позднее 1 апреля года, в котором планируется предоставление субсидии, заявление о заключении соглашения о предоставлении субсидии (в свободной форме), включающее расчет объема возмещения затрат, указанных в части 1 статьи 15 Федерального закона, с учетом мер прямой государственной поддержки за отчетный финансовый год.">
        <w:r>
          <w:rPr>
            <w:sz w:val="24"/>
            <w:color w:val="0000ff"/>
          </w:rPr>
          <w:t xml:space="preserve">пункте 33</w:t>
        </w:r>
      </w:hyperlink>
      <w:r>
        <w:rPr>
          <w:sz w:val="24"/>
        </w:rPr>
        <w:t xml:space="preserve"> настоящих Правил, до истечения срока возмещения затрат или исчерпания объема возмещения затрат (в зависимости от того, какая дата наступит ранее). В случае если в году, следующем за годом предоставления субсидии, на основании сведений об уплаченных организацией, реализующей проект, налогах и иных обязательных платежах в связи с реализацией проекта, в том числе уточненных налоговых и таможенных деклараций, выявлена переплата, организация, реализующая проект, обязана вернуть излишне полученные средства в федеральный бюджет.</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Организация, реализующая проект, ежегодно, не позднее 15 апреля финансового года представляет в Министерство экономического развития Российской Федерации сведения об использовании (планировании использования) в качестве источника финансирования мер прямой государственной поддержки в отношении проекта, а также об исчисленных для уплаты или уплаченных в бюджеты публично-правовых образований, каждое из которых является стороной федерального соглашения о защите и поощрении капиталовложений, налогов и обязательных платежей.</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jc w:val="both"/>
      </w:pPr>
      <w:r>
        <w:rPr>
          <w:sz w:val="24"/>
        </w:rPr>
        <w:t xml:space="preserve">(п. 34 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35. Субсидия может быть перечислена на счет, открытый организации, реализующей проект, в кредитной организации, если иное не установлено актами Правительства Российской Федерации или соглашением о предоставлении субсидии.</w:t>
      </w:r>
    </w:p>
    <w:p>
      <w:pPr>
        <w:pStyle w:val="0"/>
        <w:spacing w:before="240" w:line-rule="auto"/>
        <w:ind w:firstLine="540"/>
        <w:jc w:val="both"/>
      </w:pPr>
      <w:r>
        <w:rPr>
          <w:sz w:val="24"/>
        </w:rPr>
        <w:t xml:space="preserve">36. Утратил силу. - </w:t>
      </w:r>
      <w:r>
        <w:rPr>
          <w:sz w:val="24"/>
        </w:rPr>
        <w:t xml:space="preserve">Постановление</w:t>
      </w:r>
      <w:r>
        <w:rPr>
          <w:sz w:val="24"/>
        </w:rPr>
        <w:t xml:space="preserve"> Правительства РФ от 05.12.2022 N 2232.</w:t>
      </w:r>
    </w:p>
    <w:bookmarkStart w:id="459" w:name="P459"/>
    <w:bookmarkEnd w:id="459"/>
    <w:p>
      <w:pPr>
        <w:pStyle w:val="0"/>
        <w:spacing w:before="240" w:line-rule="auto"/>
        <w:ind w:firstLine="540"/>
        <w:jc w:val="both"/>
      </w:pPr>
      <w:r>
        <w:rPr>
          <w:sz w:val="24"/>
        </w:rPr>
        <w:t xml:space="preserve">37. Результатом предоставления субсидии являются:</w:t>
      </w:r>
    </w:p>
    <w:p>
      <w:pPr>
        <w:pStyle w:val="0"/>
        <w:spacing w:before="240" w:line-rule="auto"/>
        <w:ind w:firstLine="540"/>
        <w:jc w:val="both"/>
      </w:pPr>
      <w:r>
        <w:rPr>
          <w:sz w:val="24"/>
        </w:rPr>
        <w:t xml:space="preserve">количество введенных в эксплуатацию объектов обеспечивающей и (или) сопутствующей инфраструктур, необходимых для реализации инвестиционного проекта, и (или) количество завершенных мероприятий по демонтажу объектов, расположенных на территориях военных городков (в части жилищного строительства);</w:t>
      </w:r>
    </w:p>
    <w:bookmarkStart w:id="461" w:name="P461"/>
    <w:bookmarkEnd w:id="461"/>
    <w:p>
      <w:pPr>
        <w:pStyle w:val="0"/>
        <w:spacing w:before="240" w:line-rule="auto"/>
        <w:ind w:firstLine="540"/>
        <w:jc w:val="both"/>
      </w:pPr>
      <w:r>
        <w:rPr>
          <w:sz w:val="24"/>
        </w:rPr>
        <w:t xml:space="preserve">количество завершенных в установленные соглашением о защите и поощрении капиталовложений сроки этапов инвестиционного проекта.</w:t>
      </w:r>
    </w:p>
    <w:p>
      <w:pPr>
        <w:pStyle w:val="0"/>
        <w:spacing w:before="240" w:line-rule="auto"/>
        <w:ind w:firstLine="540"/>
        <w:jc w:val="both"/>
      </w:pPr>
      <w:r>
        <w:rPr>
          <w:sz w:val="24"/>
        </w:rPr>
        <w:t xml:space="preserve">Показателем, обеспечивающим достижение указанного в </w:t>
      </w:r>
      <w:hyperlink w:history="0" w:anchor="P461" w:tooltip="количество завершенных в установленные соглашением о защите и поощрении капиталовложений сроки этапов инвестиционного проекта.">
        <w:r>
          <w:rPr>
            <w:sz w:val="24"/>
            <w:color w:val="0000ff"/>
          </w:rPr>
          <w:t xml:space="preserve">абзаце третьем</w:t>
        </w:r>
      </w:hyperlink>
      <w:r>
        <w:rPr>
          <w:sz w:val="24"/>
        </w:rPr>
        <w:t xml:space="preserve"> настоящего пункта результата, является количество объектов капитального строительства, введенных в эксплуатацию.</w:t>
      </w:r>
    </w:p>
    <w:p>
      <w:pPr>
        <w:pStyle w:val="0"/>
        <w:jc w:val="both"/>
      </w:pPr>
      <w:r>
        <w:rPr>
          <w:sz w:val="24"/>
        </w:rPr>
        <w:t xml:space="preserve">(п. 37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38. Утратил силу. - </w:t>
      </w:r>
      <w:r>
        <w:rPr>
          <w:sz w:val="24"/>
        </w:rPr>
        <w:t xml:space="preserve">Постановление</w:t>
      </w:r>
      <w:r>
        <w:rPr>
          <w:sz w:val="24"/>
        </w:rPr>
        <w:t xml:space="preserve"> Правительства РФ от 05.12.2022 N 2232.</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bookmarkStart w:id="468" w:name="P468"/>
    <w:bookmarkEnd w:id="468"/>
    <w:p>
      <w:pPr>
        <w:pStyle w:val="0"/>
        <w:ind w:firstLine="540"/>
        <w:jc w:val="both"/>
      </w:pPr>
      <w:r>
        <w:rPr>
          <w:sz w:val="24"/>
        </w:rPr>
        <w:t xml:space="preserve">39. Организация, реализующая проект, обеспечивает представление отчетности в Министерство экономического развития Российской Федерации в порядке, по формам и в сроки, которые устанавливаются Министерством в соглашении о предоставлении субсидии.</w:t>
      </w:r>
    </w:p>
    <w:p>
      <w:pPr>
        <w:pStyle w:val="0"/>
        <w:spacing w:before="240" w:line-rule="auto"/>
        <w:ind w:firstLine="540"/>
        <w:jc w:val="both"/>
      </w:pPr>
      <w:r>
        <w:rPr>
          <w:sz w:val="24"/>
        </w:rPr>
        <w:t xml:space="preserve">40. В дополнение к отчетам, предусмотренным </w:t>
      </w:r>
      <w:hyperlink w:history="0" w:anchor="P468" w:tooltip="39. Организация, реализующая проект, обеспечивает представление отчетности в Министерство экономического развития Российской Федерации в порядке, по формам и в сроки, которые устанавливаются Министерством в соглашении о предоставлении субсидии.">
        <w:r>
          <w:rPr>
            <w:sz w:val="24"/>
            <w:color w:val="0000ff"/>
          </w:rPr>
          <w:t xml:space="preserve">пунктом 39</w:t>
        </w:r>
      </w:hyperlink>
      <w:r>
        <w:rPr>
          <w:sz w:val="24"/>
        </w:rPr>
        <w:t xml:space="preserve"> настоящих Правил, организация, реализующая проект, представляет в Министерство экономического развития Российской Федерации запрашиваемую им информацию.</w:t>
      </w:r>
    </w:p>
    <w:p>
      <w:pPr>
        <w:pStyle w:val="0"/>
        <w:spacing w:before="240" w:line-rule="auto"/>
        <w:ind w:firstLine="540"/>
        <w:jc w:val="both"/>
      </w:pPr>
      <w:r>
        <w:rPr>
          <w:sz w:val="24"/>
        </w:rPr>
        <w:t xml:space="preserve">Запрос о представлении указанной информации должен содержать срок и форму ее представления, а также методические рекомендации по заполнению указанной формы (при необходимости).</w:t>
      </w:r>
    </w:p>
    <w:p>
      <w:pPr>
        <w:pStyle w:val="0"/>
        <w:jc w:val="both"/>
      </w:pPr>
      <w:r>
        <w:rPr>
          <w:sz w:val="24"/>
        </w:rPr>
      </w:r>
    </w:p>
    <w:p>
      <w:pPr>
        <w:pStyle w:val="2"/>
        <w:outlineLvl w:val="1"/>
        <w:jc w:val="center"/>
      </w:pPr>
      <w:r>
        <w:rPr>
          <w:sz w:val="24"/>
        </w:rPr>
        <w:t xml:space="preserve">V. Требования об осуществлении контроля за соблюдением</w:t>
      </w:r>
    </w:p>
    <w:p>
      <w:pPr>
        <w:pStyle w:val="2"/>
        <w:jc w:val="center"/>
      </w:pPr>
      <w:r>
        <w:rPr>
          <w:sz w:val="24"/>
        </w:rPr>
        <w:t xml:space="preserve">порядка и условий предоставления субсидии</w:t>
      </w:r>
    </w:p>
    <w:p>
      <w:pPr>
        <w:pStyle w:val="0"/>
        <w:jc w:val="center"/>
      </w:pPr>
      <w:r>
        <w:rPr>
          <w:sz w:val="24"/>
        </w:rPr>
        <w:t xml:space="preserve">(в ред. </w:t>
      </w:r>
      <w:r>
        <w:rPr>
          <w:sz w:val="24"/>
        </w:rPr>
        <w:t xml:space="preserve">Постановления</w:t>
      </w:r>
      <w:r>
        <w:rPr>
          <w:sz w:val="24"/>
        </w:rPr>
        <w:t xml:space="preserve"> Правительства РФ от 14.12.2024 N 1789)</w:t>
      </w:r>
    </w:p>
    <w:p>
      <w:pPr>
        <w:pStyle w:val="0"/>
        <w:jc w:val="both"/>
      </w:pPr>
      <w:r>
        <w:rPr>
          <w:sz w:val="24"/>
        </w:rPr>
      </w:r>
    </w:p>
    <w:p>
      <w:pPr>
        <w:pStyle w:val="0"/>
        <w:ind w:firstLine="540"/>
        <w:jc w:val="both"/>
      </w:pPr>
      <w:r>
        <w:rPr>
          <w:sz w:val="24"/>
        </w:rPr>
        <w:t xml:space="preserve">41. Контроль за соблюдением организацией, реализующей проект, установленных в соответствии с настоящими Правилами порядка и условий предоставления субсидии, в том числе в части достижения результатов предоставления субсидии, осуществляется Министерством экономического развития Российской Федерации и органами государственного финансового контроля. Орган государственного финансового контроля осуществляет проверку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jc w:val="both"/>
      </w:pPr>
      <w:r>
        <w:rPr>
          <w:sz w:val="24"/>
        </w:rPr>
        <w:t xml:space="preserve">(в ред. Постановлений Правительства РФ от 05.12.2022 </w:t>
      </w:r>
      <w:r>
        <w:rPr>
          <w:sz w:val="24"/>
        </w:rPr>
        <w:t xml:space="preserve">N 2232</w:t>
      </w:r>
      <w:r>
        <w:rPr>
          <w:sz w:val="24"/>
        </w:rPr>
        <w:t xml:space="preserve">, от 14.12.2024 </w:t>
      </w:r>
      <w:r>
        <w:rPr>
          <w:sz w:val="24"/>
        </w:rPr>
        <w:t xml:space="preserve">N 1789</w:t>
      </w:r>
      <w:r>
        <w:rPr>
          <w:sz w:val="24"/>
        </w:rPr>
        <w:t xml:space="preserve">)</w:t>
      </w:r>
    </w:p>
    <w:p>
      <w:pPr>
        <w:pStyle w:val="0"/>
        <w:spacing w:before="240" w:line-rule="auto"/>
        <w:ind w:firstLine="540"/>
        <w:jc w:val="both"/>
      </w:pPr>
      <w:r>
        <w:rPr>
          <w:sz w:val="24"/>
        </w:rPr>
        <w:t xml:space="preserve">42. В случае установления по итогам проверок, проведенных Министерством экономического развития Российской Федерации и органом государственного финансового контроля, факта нарушения порядка и условий предоставления субсидии, установленных настоящими Правилами и соглашением о предоставлении субсидии, Министерство и орган государственного финансового контроля направляют организации, реализующей проект, требование об устранении нарушения.</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В требовании об устранении нарушения устанавливается срок для его устранения.</w:t>
      </w:r>
    </w:p>
    <w:p>
      <w:pPr>
        <w:pStyle w:val="0"/>
        <w:spacing w:before="240" w:line-rule="auto"/>
        <w:ind w:firstLine="540"/>
        <w:jc w:val="both"/>
      </w:pPr>
      <w:r>
        <w:rPr>
          <w:sz w:val="24"/>
        </w:rPr>
        <w:t xml:space="preserve">43. В случае если требование об устранении нарушения не выполнено в установленный срок либо нарушение носит неустранимый характер, Министерство экономического развития Российской Федерации выдает организации, реализующей проект, требование о возврате денежных средств в размере субсидии, использованной с нарушением.</w:t>
      </w:r>
    </w:p>
    <w:p>
      <w:pPr>
        <w:pStyle w:val="0"/>
        <w:spacing w:before="240" w:line-rule="auto"/>
        <w:ind w:firstLine="540"/>
        <w:jc w:val="both"/>
      </w:pPr>
      <w:r>
        <w:rPr>
          <w:sz w:val="24"/>
        </w:rPr>
        <w:t xml:space="preserve">Организация, реализующая проект, обязана возвратить в течение 20 рабочих дней со дня получения требования о возврате денежных средств в федеральный бюджет денежные средства в размере субсидии, использованной с нарушениями.</w:t>
      </w:r>
    </w:p>
    <w:p>
      <w:pPr>
        <w:pStyle w:val="0"/>
        <w:spacing w:before="240" w:line-rule="auto"/>
        <w:ind w:firstLine="540"/>
        <w:jc w:val="both"/>
      </w:pPr>
      <w:r>
        <w:rPr>
          <w:sz w:val="24"/>
        </w:rPr>
        <w:t xml:space="preserve">44. В случае неисполнения организацией, реализующей проект, требования о возврате денежных средств со счетов, открытых организации, реализующей проект, в кредитных организациях, с которыми организация, реализующая проект, обязана заключить договоры банковского счета, может осуществляться бесспорное списание средств в размере, не превышающем размера субсидии, использованной с нарушениями.</w:t>
      </w:r>
    </w:p>
    <w:p>
      <w:pPr>
        <w:pStyle w:val="0"/>
        <w:spacing w:before="240" w:line-rule="auto"/>
        <w:ind w:firstLine="540"/>
        <w:jc w:val="both"/>
      </w:pPr>
      <w:r>
        <w:rPr>
          <w:sz w:val="24"/>
        </w:rPr>
        <w:t xml:space="preserve">45. В случае недостижения организацией, реализующей проект, значения результата предоставления субсидии, установленного соглашением о предоставлении субсидии, Министерство экономического развития Российской Федерации направляет организации, реализующей проект, требование об уплате штрафа в размере, определяемом соглашением о предоставлении субсидии, с указанием срока его исполнения.</w:t>
      </w:r>
    </w:p>
    <w:p>
      <w:pPr>
        <w:pStyle w:val="0"/>
        <w:jc w:val="both"/>
      </w:pPr>
      <w:r>
        <w:rPr>
          <w:sz w:val="24"/>
        </w:rPr>
      </w:r>
    </w:p>
    <w:p>
      <w:pPr>
        <w:pStyle w:val="2"/>
        <w:outlineLvl w:val="1"/>
        <w:jc w:val="center"/>
      </w:pPr>
      <w:r>
        <w:rPr>
          <w:sz w:val="24"/>
        </w:rPr>
        <w:t xml:space="preserve">VI. Переходные положения</w:t>
      </w:r>
    </w:p>
    <w:p>
      <w:pPr>
        <w:pStyle w:val="0"/>
        <w:jc w:val="both"/>
      </w:pPr>
      <w:r>
        <w:rPr>
          <w:sz w:val="24"/>
        </w:rPr>
      </w:r>
    </w:p>
    <w:p>
      <w:pPr>
        <w:pStyle w:val="0"/>
        <w:ind w:firstLine="540"/>
        <w:jc w:val="both"/>
      </w:pPr>
      <w:r>
        <w:rPr>
          <w:sz w:val="24"/>
        </w:rPr>
        <w:t xml:space="preserve">46. До ввода в эксплуатацию системы "Капиталовложения" Федеральная налоговая служба и Федеральная таможенная служба обеспечивают представление в Министерство экономического развития Российской Федерации в бумажной форме и (или) через государственные информационные системы при наличии технической возможности следующих данных в следующие сроки:</w:t>
      </w:r>
    </w:p>
    <w:p>
      <w:pPr>
        <w:pStyle w:val="0"/>
        <w:spacing w:before="240" w:line-rule="auto"/>
        <w:ind w:firstLine="540"/>
        <w:jc w:val="both"/>
      </w:pPr>
      <w:r>
        <w:rPr>
          <w:sz w:val="24"/>
        </w:rPr>
        <w:t xml:space="preserve">сведения о суммах налога на прибыль организаций, налога на имущество организаций,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проекта, - в течение 10 рабочих дней с даты поступления указанной информации (налоговых деклараций), также в течение указанного срока передаче в Министерство экономического развития Российской Федерации подлежат сведения о корректировках и уточнениях налоговых деклараций;</w:t>
      </w:r>
    </w:p>
    <w:p>
      <w:pPr>
        <w:pStyle w:val="0"/>
        <w:jc w:val="both"/>
      </w:pPr>
      <w:r>
        <w:rPr>
          <w:sz w:val="24"/>
        </w:rPr>
        <w:t xml:space="preserve">(в ред. </w:t>
      </w:r>
      <w:r>
        <w:rPr>
          <w:sz w:val="24"/>
        </w:rPr>
        <w:t xml:space="preserve">Постановления</w:t>
      </w:r>
      <w:r>
        <w:rPr>
          <w:sz w:val="24"/>
        </w:rPr>
        <w:t xml:space="preserve"> Правительства РФ от 05.12.2022 N 2232)</w:t>
      </w:r>
    </w:p>
    <w:p>
      <w:pPr>
        <w:pStyle w:val="0"/>
        <w:spacing w:before="240" w:line-rule="auto"/>
        <w:ind w:firstLine="540"/>
        <w:jc w:val="both"/>
      </w:pPr>
      <w:r>
        <w:rPr>
          <w:sz w:val="24"/>
        </w:rPr>
        <w:t xml:space="preserve">сведения о суммах ввозных таможенных пошлин, исчисленных к уплате в связи с реализацией проектов, - в течение 10 рабочих дней с даты поступления указанной информации (таможенных деклараций), также в течение указанного срока передаче в Министерство экономического развития Российской Федерации подлежат сведения об уточнениях и корректировках таможенных деклараций;</w:t>
      </w:r>
    </w:p>
    <w:p>
      <w:pPr>
        <w:pStyle w:val="0"/>
        <w:spacing w:before="240" w:line-rule="auto"/>
        <w:ind w:firstLine="540"/>
        <w:jc w:val="both"/>
      </w:pPr>
      <w:r>
        <w:rPr>
          <w:sz w:val="24"/>
        </w:rPr>
        <w:t xml:space="preserve">скорректированные сведения о годовом объеме уплаченных в связи с реализацией проекта сумм налогов и сборов (по каждому налогу (сбору) по итогам прошедшего финансового года - не позднее 30 апреля текущего финансового года. При этом учитывается величина недоимки, задолженности по пеням и штрафам (по каждому налогу (сбору) по состоянию на 1-е число месяца, в котором указанные сведения передаются в Министерство экономического развития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возмещения затрат,</w:t>
      </w:r>
    </w:p>
    <w:p>
      <w:pPr>
        <w:pStyle w:val="0"/>
        <w:jc w:val="right"/>
      </w:pPr>
      <w:r>
        <w:rPr>
          <w:sz w:val="24"/>
        </w:rPr>
        <w:t xml:space="preserve">указанных в части 1 статьи 15</w:t>
      </w:r>
    </w:p>
    <w:p>
      <w:pPr>
        <w:pStyle w:val="0"/>
        <w:jc w:val="right"/>
      </w:pPr>
      <w:r>
        <w:rPr>
          <w:sz w:val="24"/>
        </w:rPr>
        <w:t xml:space="preserve">Федерального закона "О защите</w:t>
      </w:r>
    </w:p>
    <w:p>
      <w:pPr>
        <w:pStyle w:val="0"/>
        <w:jc w:val="right"/>
      </w:pPr>
      <w:r>
        <w:rPr>
          <w:sz w:val="24"/>
        </w:rPr>
        <w:t xml:space="preserve">и поощрении капиталовложений</w:t>
      </w:r>
    </w:p>
    <w:p>
      <w:pPr>
        <w:pStyle w:val="0"/>
        <w:jc w:val="right"/>
      </w:pPr>
      <w:r>
        <w:rPr>
          <w:sz w:val="24"/>
        </w:rPr>
        <w:t xml:space="preserve">в Российской Федерации", понесенных</w:t>
      </w:r>
    </w:p>
    <w:p>
      <w:pPr>
        <w:pStyle w:val="0"/>
        <w:jc w:val="right"/>
      </w:pPr>
      <w:r>
        <w:rPr>
          <w:sz w:val="24"/>
        </w:rPr>
        <w:t xml:space="preserve">организацией, реализующей проект,</w:t>
      </w:r>
    </w:p>
    <w:p>
      <w:pPr>
        <w:pStyle w:val="0"/>
        <w:jc w:val="right"/>
      </w:pPr>
      <w:r>
        <w:rPr>
          <w:sz w:val="24"/>
        </w:rPr>
        <w:t xml:space="preserve">в рамках осуществления инвестиционного</w:t>
      </w:r>
    </w:p>
    <w:p>
      <w:pPr>
        <w:pStyle w:val="0"/>
        <w:jc w:val="right"/>
      </w:pPr>
      <w:r>
        <w:rPr>
          <w:sz w:val="24"/>
        </w:rPr>
        <w:t xml:space="preserve">проекта, в отношении которого</w:t>
      </w:r>
    </w:p>
    <w:p>
      <w:pPr>
        <w:pStyle w:val="0"/>
        <w:jc w:val="right"/>
      </w:pPr>
      <w:r>
        <w:rPr>
          <w:sz w:val="24"/>
        </w:rPr>
        <w:t xml:space="preserve">заключено соглашение о защите</w:t>
      </w:r>
    </w:p>
    <w:p>
      <w:pPr>
        <w:pStyle w:val="0"/>
        <w:jc w:val="right"/>
      </w:pPr>
      <w:r>
        <w:rPr>
          <w:sz w:val="24"/>
        </w:rPr>
        <w:t xml:space="preserve">и поощрении капиталовложений</w:t>
      </w:r>
    </w:p>
    <w:p>
      <w:pPr>
        <w:pStyle w:val="0"/>
        <w:jc w:val="both"/>
      </w:pPr>
      <w:r>
        <w:rPr>
          <w:sz w:val="24"/>
        </w:rPr>
      </w:r>
    </w:p>
    <w:p>
      <w:pPr>
        <w:pStyle w:val="2"/>
        <w:jc w:val="center"/>
      </w:pPr>
      <w:r>
        <w:rPr>
          <w:sz w:val="24"/>
        </w:rPr>
        <w:t xml:space="preserve">ТРЕБОВАНИЯ К ЭКСПЕРТНОЙ ОРГАНИЗАЦИИ</w:t>
      </w:r>
    </w:p>
    <w:p>
      <w:pPr>
        <w:pStyle w:val="0"/>
        <w:jc w:val="both"/>
      </w:pPr>
      <w:r>
        <w:rPr>
          <w:sz w:val="24"/>
        </w:rPr>
      </w:r>
    </w:p>
    <w:p>
      <w:pPr>
        <w:pStyle w:val="0"/>
        <w:ind w:firstLine="540"/>
        <w:jc w:val="both"/>
      </w:pPr>
      <w:r>
        <w:rPr>
          <w:sz w:val="24"/>
        </w:rPr>
        <w:t xml:space="preserve">Утратили силу. - </w:t>
      </w:r>
      <w:r>
        <w:rPr>
          <w:sz w:val="24"/>
        </w:rPr>
        <w:t xml:space="preserve">Постановление</w:t>
      </w:r>
      <w:r>
        <w:rPr>
          <w:sz w:val="24"/>
        </w:rPr>
        <w:t xml:space="preserve"> Правительства РФ от 27.10.2025 N 1664.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Правилам возмещения затрат,</w:t>
      </w:r>
    </w:p>
    <w:p>
      <w:pPr>
        <w:pStyle w:val="0"/>
        <w:jc w:val="right"/>
      </w:pPr>
      <w:r>
        <w:rPr>
          <w:sz w:val="24"/>
        </w:rPr>
        <w:t xml:space="preserve">указанных в части 1 статьи 15</w:t>
      </w:r>
    </w:p>
    <w:p>
      <w:pPr>
        <w:pStyle w:val="0"/>
        <w:jc w:val="right"/>
      </w:pPr>
      <w:r>
        <w:rPr>
          <w:sz w:val="24"/>
        </w:rPr>
        <w:t xml:space="preserve">Федерального закона "О защите</w:t>
      </w:r>
    </w:p>
    <w:p>
      <w:pPr>
        <w:pStyle w:val="0"/>
        <w:jc w:val="right"/>
      </w:pPr>
      <w:r>
        <w:rPr>
          <w:sz w:val="24"/>
        </w:rPr>
        <w:t xml:space="preserve">и поощрении капиталовложений</w:t>
      </w:r>
    </w:p>
    <w:p>
      <w:pPr>
        <w:pStyle w:val="0"/>
        <w:jc w:val="right"/>
      </w:pPr>
      <w:r>
        <w:rPr>
          <w:sz w:val="24"/>
        </w:rPr>
        <w:t xml:space="preserve">в Российской Федерации", понесенных</w:t>
      </w:r>
    </w:p>
    <w:p>
      <w:pPr>
        <w:pStyle w:val="0"/>
        <w:jc w:val="right"/>
      </w:pPr>
      <w:r>
        <w:rPr>
          <w:sz w:val="24"/>
        </w:rPr>
        <w:t xml:space="preserve">организацией, реализующей проект,</w:t>
      </w:r>
    </w:p>
    <w:p>
      <w:pPr>
        <w:pStyle w:val="0"/>
        <w:jc w:val="right"/>
      </w:pPr>
      <w:r>
        <w:rPr>
          <w:sz w:val="24"/>
        </w:rPr>
        <w:t xml:space="preserve">в рамках осуществления инвестиционного</w:t>
      </w:r>
    </w:p>
    <w:p>
      <w:pPr>
        <w:pStyle w:val="0"/>
        <w:jc w:val="right"/>
      </w:pPr>
      <w:r>
        <w:rPr>
          <w:sz w:val="24"/>
        </w:rPr>
        <w:t xml:space="preserve">проекта, в отношении которого</w:t>
      </w:r>
    </w:p>
    <w:p>
      <w:pPr>
        <w:pStyle w:val="0"/>
        <w:jc w:val="right"/>
      </w:pPr>
      <w:r>
        <w:rPr>
          <w:sz w:val="24"/>
        </w:rPr>
        <w:t xml:space="preserve">заключено соглашение о защите</w:t>
      </w:r>
    </w:p>
    <w:p>
      <w:pPr>
        <w:pStyle w:val="0"/>
        <w:jc w:val="right"/>
      </w:pPr>
      <w:r>
        <w:rPr>
          <w:sz w:val="24"/>
        </w:rPr>
        <w:t xml:space="preserve">и поощрении капиталовложений</w:t>
      </w:r>
    </w:p>
    <w:p>
      <w:pPr>
        <w:pStyle w:val="0"/>
        <w:jc w:val="both"/>
      </w:pPr>
      <w:r>
        <w:rPr>
          <w:sz w:val="24"/>
        </w:rPr>
      </w:r>
    </w:p>
    <w:bookmarkStart w:id="526" w:name="P526"/>
    <w:bookmarkEnd w:id="526"/>
    <w:p>
      <w:pPr>
        <w:pStyle w:val="2"/>
        <w:jc w:val="center"/>
      </w:pPr>
      <w:r>
        <w:rPr>
          <w:sz w:val="24"/>
        </w:rPr>
        <w:t xml:space="preserve">ПРАВИЛА</w:t>
      </w:r>
    </w:p>
    <w:p>
      <w:pPr>
        <w:pStyle w:val="2"/>
        <w:jc w:val="center"/>
      </w:pPr>
      <w:r>
        <w:rPr>
          <w:sz w:val="24"/>
        </w:rPr>
        <w:t xml:space="preserve">ВЫДАЧИ ЗАКЛЮЧЕНИЯ О ПРОВЕДЕНИИ ТЕХНОЛОГИЧЕСКОГО</w:t>
      </w:r>
    </w:p>
    <w:p>
      <w:pPr>
        <w:pStyle w:val="2"/>
        <w:jc w:val="center"/>
      </w:pPr>
      <w:r>
        <w:rPr>
          <w:sz w:val="24"/>
        </w:rPr>
        <w:t xml:space="preserve">АУДИТА ОБЪЕКТОВ НЕДВИЖИМОСТИ И ЛИНЕЙНЫХ ОБЪЕКТОВ,</w:t>
      </w:r>
    </w:p>
    <w:p>
      <w:pPr>
        <w:pStyle w:val="2"/>
        <w:jc w:val="center"/>
      </w:pPr>
      <w:r>
        <w:rPr>
          <w:sz w:val="24"/>
        </w:rPr>
        <w:t xml:space="preserve">СОЗДАННЫХ (ПОСТРОЕННЫХ) ЛИБО РЕКОНСТРУИРОВАННЫХ В РАМКАХ</w:t>
      </w:r>
    </w:p>
    <w:p>
      <w:pPr>
        <w:pStyle w:val="2"/>
        <w:jc w:val="center"/>
      </w:pPr>
      <w:r>
        <w:rPr>
          <w:sz w:val="24"/>
        </w:rPr>
        <w:t xml:space="preserve">ИНВЕСТИЦИОННОГО ПРОЕКТА, ЗАТРАТЫ В ОТНОШЕНИИ КОТОРЫХ</w:t>
      </w:r>
    </w:p>
    <w:p>
      <w:pPr>
        <w:pStyle w:val="2"/>
        <w:jc w:val="center"/>
      </w:pPr>
      <w:r>
        <w:rPr>
          <w:sz w:val="24"/>
        </w:rPr>
        <w:t xml:space="preserve">ПЛАНИРУЕТСЯ ВОЗМЕСТИТЬ В СООТВЕТСТВИИ С ПУНКТАМИ 1 - 3</w:t>
      </w:r>
    </w:p>
    <w:p>
      <w:pPr>
        <w:pStyle w:val="2"/>
        <w:jc w:val="center"/>
      </w:pPr>
      <w:r>
        <w:rPr>
          <w:sz w:val="24"/>
        </w:rPr>
        <w:t xml:space="preserve">ЧАСТИ 1 СТАТЬИ 15 ФЕДЕРАЛЬНОГО ЗАКОНА "О ЗАЩИТЕ</w:t>
      </w:r>
    </w:p>
    <w:p>
      <w:pPr>
        <w:pStyle w:val="2"/>
        <w:jc w:val="center"/>
      </w:pPr>
      <w:r>
        <w:rPr>
          <w:sz w:val="24"/>
        </w:rPr>
        <w:t xml:space="preserve">И ПООЩРЕНИИ КАПИТАЛОВЛОЖЕНИЙ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27.10.2025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выдачи заключения 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которых планируется возместить в соответствии с </w:t>
      </w:r>
      <w:r>
        <w:rPr>
          <w:sz w:val="24"/>
        </w:rPr>
        <w:t xml:space="preserve">пунктами 1</w:t>
      </w:r>
      <w:r>
        <w:rPr>
          <w:sz w:val="24"/>
        </w:rPr>
        <w:t xml:space="preserve"> - </w:t>
      </w:r>
      <w:r>
        <w:rPr>
          <w:sz w:val="24"/>
        </w:rPr>
        <w:t xml:space="preserve">3 части 1 статьи 15</w:t>
      </w:r>
      <w:r>
        <w:rPr>
          <w:sz w:val="24"/>
        </w:rPr>
        <w:t xml:space="preserve"> Федерального закона "О защите и поощрении капиталовложений в Российской Федерации" (далее соответственно - заключение о проведении технологического аудита, технологический аудит, объекты, Федеральный закон).</w:t>
      </w:r>
    </w:p>
    <w:p>
      <w:pPr>
        <w:pStyle w:val="0"/>
        <w:spacing w:before="240" w:line-rule="auto"/>
        <w:ind w:firstLine="540"/>
        <w:jc w:val="both"/>
      </w:pPr>
      <w:r>
        <w:rPr>
          <w:sz w:val="24"/>
        </w:rPr>
        <w:t xml:space="preserve">2. В настоящем документе используются понятия, установленные Федеральным </w:t>
      </w:r>
      <w:r>
        <w:rPr>
          <w:sz w:val="24"/>
        </w:rPr>
        <w:t xml:space="preserve">законом</w:t>
      </w:r>
      <w:r>
        <w:rPr>
          <w:sz w:val="24"/>
        </w:rPr>
        <w:t xml:space="preserve">, а также определения, установленные </w:t>
      </w:r>
      <w:hyperlink w:history="0" w:anchor="P51" w:tooltip="ПРАВИЛА">
        <w:r>
          <w:rPr>
            <w:sz w:val="24"/>
            <w:color w:val="0000ff"/>
          </w:rPr>
          <w:t xml:space="preserve">Правилами</w:t>
        </w:r>
      </w:hyperlink>
      <w:r>
        <w:rPr>
          <w:sz w:val="24"/>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 возмещения затрат).</w:t>
      </w:r>
    </w:p>
    <w:p>
      <w:pPr>
        <w:pStyle w:val="0"/>
        <w:spacing w:before="240" w:line-rule="auto"/>
        <w:ind w:firstLine="540"/>
        <w:jc w:val="both"/>
      </w:pPr>
      <w:r>
        <w:rPr>
          <w:sz w:val="24"/>
        </w:rPr>
        <w:t xml:space="preserve">3. Документы (материалы), представляемые в целях выдачи заключения о проведении технологического аудита, включают в себя в том числе задание на проектирование объекта (далее - задание на проектирование), проектную документацию, получившую положительное заключение государственной экспертизы, а также материалы, подтверждающие решения, содержащиеся в задании на проектирование, содержащие основные характеристики, сроки и этапы строительства (реконструкции) и место размещения объекта, основные (принципиальные) архитектурные, технологические, конструктивные, объемно-планировочные, инженерно-технические и иные решения по строительству, реконструкции такого объекта, сведения об основном технологическом оборудовании с учетом требований современных технологий производства и соответствия указанных решений современному уровню развития техники и технологий, современным строительным материалам и оборудованию, применяемым в строительстве.</w:t>
      </w:r>
    </w:p>
    <w:p>
      <w:pPr>
        <w:pStyle w:val="0"/>
        <w:spacing w:before="240" w:line-rule="auto"/>
        <w:ind w:firstLine="540"/>
        <w:jc w:val="both"/>
      </w:pPr>
      <w:r>
        <w:rPr>
          <w:sz w:val="24"/>
        </w:rPr>
        <w:t xml:space="preserve">4. Заключение о проведении технологического аудита выдается по результатам проведения технологического аудита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уполномоченным на проведение государственной экспертизы проектной документации и результатов инженерных изысканий (далее - экспертное учреждение).</w:t>
      </w:r>
    </w:p>
    <w:p>
      <w:pPr>
        <w:pStyle w:val="0"/>
        <w:spacing w:before="240" w:line-rule="auto"/>
        <w:ind w:firstLine="540"/>
        <w:jc w:val="both"/>
      </w:pPr>
      <w:r>
        <w:rPr>
          <w:sz w:val="24"/>
        </w:rPr>
        <w:t xml:space="preserve">Технологический аудит проводится после ввода объектов в эксплуатацию в отношении каждого объекта.</w:t>
      </w:r>
    </w:p>
    <w:p>
      <w:pPr>
        <w:pStyle w:val="0"/>
        <w:jc w:val="both"/>
      </w:pPr>
      <w:r>
        <w:rPr>
          <w:sz w:val="24"/>
        </w:rPr>
      </w:r>
    </w:p>
    <w:p>
      <w:pPr>
        <w:pStyle w:val="2"/>
        <w:outlineLvl w:val="2"/>
        <w:jc w:val="center"/>
      </w:pPr>
      <w:r>
        <w:rPr>
          <w:sz w:val="24"/>
        </w:rPr>
        <w:t xml:space="preserve">II. Представление документов (материалов) в целях выдачи</w:t>
      </w:r>
    </w:p>
    <w:p>
      <w:pPr>
        <w:pStyle w:val="2"/>
        <w:jc w:val="center"/>
      </w:pPr>
      <w:r>
        <w:rPr>
          <w:sz w:val="24"/>
        </w:rPr>
        <w:t xml:space="preserve">заключения о проведении технологического аудита</w:t>
      </w:r>
    </w:p>
    <w:p>
      <w:pPr>
        <w:pStyle w:val="0"/>
        <w:jc w:val="both"/>
      </w:pPr>
      <w:r>
        <w:rPr>
          <w:sz w:val="24"/>
        </w:rPr>
      </w:r>
    </w:p>
    <w:bookmarkStart w:id="548" w:name="P548"/>
    <w:bookmarkEnd w:id="548"/>
    <w:p>
      <w:pPr>
        <w:pStyle w:val="0"/>
        <w:ind w:firstLine="540"/>
        <w:jc w:val="both"/>
      </w:pPr>
      <w:r>
        <w:rPr>
          <w:sz w:val="24"/>
        </w:rPr>
        <w:t xml:space="preserve">5. В целях выдачи заключения о проведении технологического аудита организация, реализующая проект, представляет в экспертное учреждение следующие документы (материалы):</w:t>
      </w:r>
    </w:p>
    <w:p>
      <w:pPr>
        <w:pStyle w:val="0"/>
        <w:spacing w:before="240" w:line-rule="auto"/>
        <w:ind w:firstLine="540"/>
        <w:jc w:val="both"/>
      </w:pPr>
      <w:r>
        <w:rPr>
          <w:sz w:val="24"/>
        </w:rPr>
        <w:t xml:space="preserve">а) заявление о выдаче заключения о проведении технологического аудита, в котором указываются:</w:t>
      </w:r>
    </w:p>
    <w:p>
      <w:pPr>
        <w:pStyle w:val="0"/>
        <w:spacing w:before="240" w:line-rule="auto"/>
        <w:ind w:firstLine="540"/>
        <w:jc w:val="both"/>
      </w:pPr>
      <w:r>
        <w:rPr>
          <w:sz w:val="24"/>
        </w:rPr>
        <w:t xml:space="preserve">сведения о заявителе (полное наименование, место нахождения застройщика (технического заказчика) - юридического лица, а в случае, если застройщик (технический заказчик) и заявитель не одно и то же лицо, - указанные сведения также в отношении заявителя);</w:t>
      </w:r>
    </w:p>
    <w:p>
      <w:pPr>
        <w:pStyle w:val="0"/>
        <w:spacing w:before="240" w:line-rule="auto"/>
        <w:ind w:firstLine="540"/>
        <w:jc w:val="both"/>
      </w:pPr>
      <w:r>
        <w:rPr>
          <w:sz w:val="24"/>
        </w:rPr>
        <w:t xml:space="preserve">сведения о лицах, осуществивших подготовку проектной документации (фамилия, имя, отчество (при наличии), реквизиты документа, удостоверяющего личность, почтовый адрес места жительства индивидуального предпринимателя, полное наименование, место нахождения юридического лица);</w:t>
      </w:r>
    </w:p>
    <w:p>
      <w:pPr>
        <w:pStyle w:val="0"/>
        <w:spacing w:before="240" w:line-rule="auto"/>
        <w:ind w:firstLine="540"/>
        <w:jc w:val="both"/>
      </w:pPr>
      <w:r>
        <w:rPr>
          <w:sz w:val="24"/>
        </w:rPr>
        <w:t xml:space="preserve">сведения об объекте (наименование, почтовый (строительный) адрес такого объекта и его основные технико-экономические показатели - площадь, объем, протяженность, количество этажей, производственная мощность и другие показатели);</w:t>
      </w:r>
    </w:p>
    <w:p>
      <w:pPr>
        <w:pStyle w:val="0"/>
        <w:spacing w:before="240" w:line-rule="auto"/>
        <w:ind w:firstLine="540"/>
        <w:jc w:val="both"/>
      </w:pPr>
      <w:r>
        <w:rPr>
          <w:sz w:val="24"/>
        </w:rPr>
        <w:t xml:space="preserve">сведения о положительном заключении государственной экспертизы проектной документации;</w:t>
      </w:r>
    </w:p>
    <w:p>
      <w:pPr>
        <w:pStyle w:val="0"/>
        <w:spacing w:before="240" w:line-rule="auto"/>
        <w:ind w:firstLine="540"/>
        <w:jc w:val="both"/>
      </w:pPr>
      <w:r>
        <w:rPr>
          <w:sz w:val="24"/>
        </w:rPr>
        <w:t xml:space="preserve">б) проектная документация, получившая положительное заключение государственной экспертизы (в случае отсутствия сведений о положительном заключении государственной экспертизы такой проектной документации в едином государственном реестре заключений экспертизы проектной документации объектов капитального строительства);</w:t>
      </w:r>
    </w:p>
    <w:p>
      <w:pPr>
        <w:pStyle w:val="0"/>
        <w:spacing w:before="240" w:line-rule="auto"/>
        <w:ind w:firstLine="540"/>
        <w:jc w:val="both"/>
      </w:pPr>
      <w:r>
        <w:rPr>
          <w:sz w:val="24"/>
        </w:rPr>
        <w:t xml:space="preserve">в) задание на проектирование и материалы, подтверждающие решения, содержащиеся в задании на проектирование.</w:t>
      </w:r>
    </w:p>
    <w:bookmarkStart w:id="556" w:name="P556"/>
    <w:bookmarkEnd w:id="556"/>
    <w:p>
      <w:pPr>
        <w:pStyle w:val="0"/>
        <w:spacing w:before="240" w:line-rule="auto"/>
        <w:ind w:firstLine="540"/>
        <w:jc w:val="both"/>
      </w:pPr>
      <w:r>
        <w:rPr>
          <w:sz w:val="24"/>
        </w:rPr>
        <w:t xml:space="preserve">6. Документы (материалы), указанные в </w:t>
      </w:r>
      <w:hyperlink w:history="0" w:anchor="P548" w:tooltip="5. В целях выдачи заключения о проведении технологического аудита организация, реализующая проект, представляет в экспертное учреждение следующие документы (материалы):">
        <w:r>
          <w:rPr>
            <w:sz w:val="24"/>
            <w:color w:val="0000ff"/>
          </w:rPr>
          <w:t xml:space="preserve">пункте 5</w:t>
        </w:r>
      </w:hyperlink>
      <w:r>
        <w:rPr>
          <w:sz w:val="24"/>
        </w:rPr>
        <w:t xml:space="preserve"> настоящих Правил, представляются в электронной форме, а при наличии в документах (материалах) сведений, составляющих государственную тайну, - на бумажном носителе.</w:t>
      </w:r>
    </w:p>
    <w:p>
      <w:pPr>
        <w:pStyle w:val="0"/>
        <w:spacing w:before="240" w:line-rule="auto"/>
        <w:ind w:firstLine="540"/>
        <w:jc w:val="both"/>
      </w:pPr>
      <w:r>
        <w:rPr>
          <w:sz w:val="24"/>
        </w:rPr>
        <w:t xml:space="preserve">При представлении документов (материалов) в целях выдачи заключения о проведении технологического аудита в электронной форме соблюдаются следующие условия:</w:t>
      </w:r>
    </w:p>
    <w:p>
      <w:pPr>
        <w:pStyle w:val="0"/>
        <w:spacing w:before="240" w:line-rule="auto"/>
        <w:ind w:firstLine="540"/>
        <w:jc w:val="both"/>
      </w:pPr>
      <w:r>
        <w:rPr>
          <w:sz w:val="24"/>
        </w:rPr>
        <w:t xml:space="preserve">электронные документы (материалы) подписываются лицами, обладающими полномочиями на их подписание в соответствии с законодательством Российской Федерации, с использованием усиленной квалифицированной электронной подписи, предусмотренной Федеральным </w:t>
      </w:r>
      <w:r>
        <w:rPr>
          <w:sz w:val="24"/>
        </w:rPr>
        <w:t xml:space="preserve">законом</w:t>
      </w:r>
      <w:r>
        <w:rPr>
          <w:sz w:val="24"/>
        </w:rPr>
        <w:t xml:space="preserve"> "Об электронной подписи";</w:t>
      </w:r>
    </w:p>
    <w:p>
      <w:pPr>
        <w:pStyle w:val="0"/>
        <w:spacing w:before="240" w:line-rule="auto"/>
        <w:ind w:firstLine="540"/>
        <w:jc w:val="both"/>
      </w:pPr>
      <w:r>
        <w:rPr>
          <w:sz w:val="24"/>
        </w:rPr>
        <w:t xml:space="preserve">формат электронных документов (материалов) должен соответствовать требованиям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утвержденным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В случае представления документов (материалов) на бумажном носителе их формат определяется договором о выдаче заключения о проведении технологического аудита (далее - договор). При этом отдельные документы (материалы) могут быть представлены в электронной форме, если это допускается в соответствии с законодательством Российской Федерации.</w:t>
      </w:r>
    </w:p>
    <w:p>
      <w:pPr>
        <w:pStyle w:val="0"/>
        <w:spacing w:before="240" w:line-rule="auto"/>
        <w:ind w:firstLine="540"/>
        <w:jc w:val="both"/>
      </w:pPr>
      <w:r>
        <w:rPr>
          <w:sz w:val="24"/>
        </w:rPr>
        <w:t xml:space="preserve">7. Экспертное учреждение в течение 3 рабочих дней со дня получения представленных документов (материалов) проводит проверку их комплектности и направляет заявителю проект договора, подписанный руководителем экспертного учреждения (уполномоченным им лицом), либо уведомление о том, что документы (материалы) не подлежат рассмотрению, с указанием оснований, предусмотренных </w:t>
      </w:r>
      <w:hyperlink w:history="0" w:anchor="P562" w:tooltip="8. Документы (материалы), указанные в пункте 5 настоящих Правил, представленные в целях выдачи заключения о проведении технологического аудита, не подлежат рассмотрению по существу по следующим основаниям:">
        <w:r>
          <w:rPr>
            <w:sz w:val="24"/>
            <w:color w:val="0000ff"/>
          </w:rPr>
          <w:t xml:space="preserve">пунктом 8</w:t>
        </w:r>
      </w:hyperlink>
      <w:r>
        <w:rPr>
          <w:sz w:val="24"/>
        </w:rPr>
        <w:t xml:space="preserve"> настоящих Правил, в электронной форме в случае представления заявителем документов (материалов) в электронной форме и на бумажном носителе в случае представления документов (материалов) на бумажном носителе. При этом к такому уведомлению прилагаются документы (материалы), представленные на бумажном носителе, за исключением заявления о выдаче заключения о проведении технологического аудита. Документы (материалы), представленные в электронной форме, не возвращаются и подлежат хранению в экспертном учреждении не менее 3 месяцев.</w:t>
      </w:r>
    </w:p>
    <w:bookmarkStart w:id="562" w:name="P562"/>
    <w:bookmarkEnd w:id="562"/>
    <w:p>
      <w:pPr>
        <w:pStyle w:val="0"/>
        <w:spacing w:before="240" w:line-rule="auto"/>
        <w:ind w:firstLine="540"/>
        <w:jc w:val="both"/>
      </w:pPr>
      <w:r>
        <w:rPr>
          <w:sz w:val="24"/>
        </w:rPr>
        <w:t xml:space="preserve">8. Документы (материалы), указанные в </w:t>
      </w:r>
      <w:hyperlink w:history="0" w:anchor="P548" w:tooltip="5. В целях выдачи заключения о проведении технологического аудита организация, реализующая проект, представляет в экспертное учреждение следующие документы (материалы):">
        <w:r>
          <w:rPr>
            <w:sz w:val="24"/>
            <w:color w:val="0000ff"/>
          </w:rPr>
          <w:t xml:space="preserve">пункте 5</w:t>
        </w:r>
      </w:hyperlink>
      <w:r>
        <w:rPr>
          <w:sz w:val="24"/>
        </w:rPr>
        <w:t xml:space="preserve"> настоящих Правил, представленные в целях выдачи заключения о проведении технологического аудита, не подлежат рассмотрению по существу по следующим основаниям:</w:t>
      </w:r>
    </w:p>
    <w:p>
      <w:pPr>
        <w:pStyle w:val="0"/>
        <w:spacing w:before="240" w:line-rule="auto"/>
        <w:ind w:firstLine="540"/>
        <w:jc w:val="both"/>
      </w:pPr>
      <w:r>
        <w:rPr>
          <w:sz w:val="24"/>
        </w:rPr>
        <w:t xml:space="preserve">а) документы (материалы), указанные в </w:t>
      </w:r>
      <w:hyperlink w:history="0" w:anchor="P548" w:tooltip="5. В целях выдачи заключения о проведении технологического аудита организация, реализующая проект, представляет в экспертное учреждение следующие документы (материалы):">
        <w:r>
          <w:rPr>
            <w:sz w:val="24"/>
            <w:color w:val="0000ff"/>
          </w:rPr>
          <w:t xml:space="preserve">пункте 5</w:t>
        </w:r>
      </w:hyperlink>
      <w:r>
        <w:rPr>
          <w:sz w:val="24"/>
        </w:rPr>
        <w:t xml:space="preserve"> настоящих Правил, представлены не в полном объеме или оформлены с нарушением требований, предусмотренных </w:t>
      </w:r>
      <w:hyperlink w:history="0" w:anchor="P556" w:tooltip="6. Документы (материалы), указанные в пункте 5 настоящих Правил, представляются в электронной форме, а при наличии в документах (материалах) сведений, составляющих государственную тайну, - на бумажном носителе.">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содержащиеся в задании на проектирование, требованиям к составу и содержанию задания на проектирование и материалов, подтверждающих решения, содержащиеся в задании на проектирование, установленным </w:t>
      </w:r>
      <w:hyperlink w:history="0" w:anchor="P602" w:tooltip="19. Задание на проектирование представляет собой документ, содержащий требования к подготовке проектной документации для обеспечения создания (строительства) либо реконструкции объекта в соответствии с требованиями законодательства Российской Федерации.">
        <w:r>
          <w:rPr>
            <w:sz w:val="24"/>
            <w:color w:val="0000ff"/>
          </w:rPr>
          <w:t xml:space="preserve">пунктами 19</w:t>
        </w:r>
      </w:hyperlink>
      <w:r>
        <w:rPr>
          <w:sz w:val="24"/>
        </w:rPr>
        <w:t xml:space="preserve"> - </w:t>
      </w:r>
      <w:hyperlink w:history="0" w:anchor="P607" w:tooltip="21. Материалы, подтверждающие решения, содержащиеся в задании на проектирование, состоят из следующих разделов:">
        <w:r>
          <w:rPr>
            <w:sz w:val="24"/>
            <w:color w:val="0000ff"/>
          </w:rPr>
          <w:t xml:space="preserve">21</w:t>
        </w:r>
      </w:hyperlink>
      <w:r>
        <w:rPr>
          <w:sz w:val="24"/>
        </w:rPr>
        <w:t xml:space="preserve"> настоящих Правил.</w:t>
      </w:r>
    </w:p>
    <w:p>
      <w:pPr>
        <w:pStyle w:val="0"/>
        <w:spacing w:before="240" w:line-rule="auto"/>
        <w:ind w:firstLine="540"/>
        <w:jc w:val="both"/>
      </w:pPr>
      <w:r>
        <w:rPr>
          <w:sz w:val="24"/>
        </w:rPr>
        <w:t xml:space="preserve">9. Договор заключается в соответствии с положениями гражданского законодательства о возмездном оказании услуг. При этом в договор подлежат включению следующие положения:</w:t>
      </w:r>
    </w:p>
    <w:p>
      <w:pPr>
        <w:pStyle w:val="0"/>
        <w:spacing w:before="240" w:line-rule="auto"/>
        <w:ind w:firstLine="540"/>
        <w:jc w:val="both"/>
      </w:pPr>
      <w:r>
        <w:rPr>
          <w:sz w:val="24"/>
        </w:rPr>
        <w:t xml:space="preserve">а) предмет договора;</w:t>
      </w:r>
    </w:p>
    <w:p>
      <w:pPr>
        <w:pStyle w:val="0"/>
        <w:spacing w:before="240" w:line-rule="auto"/>
        <w:ind w:firstLine="540"/>
        <w:jc w:val="both"/>
      </w:pPr>
      <w:r>
        <w:rPr>
          <w:sz w:val="24"/>
        </w:rPr>
        <w:t xml:space="preserve">б) срок выдачи заключения о проведении технологического аудита и порядок его продления в пределах, предусмотренных </w:t>
      </w:r>
      <w:hyperlink w:history="0" w:anchor="P573" w:tooltip="10. Срок выдачи заключения о проведении технологического аудита не должен превышать 20 рабочих дней, если иное не предусмотрено настоящим пунктом. При проведении технологического аудита, связанного со строительством, реконструкцией особо опасных, технически сложных и уникальных объектов капитального строительства, такой срок не должен превышать 25 рабочих дней. Указанный срок может быть продлен экспертным учреждением в случае, если на технологический аудит представлен проект, включающий в себя материалы,...">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в) порядок и сроки внесения изменений в проект в процессе проведения технологического аудита;</w:t>
      </w:r>
    </w:p>
    <w:p>
      <w:pPr>
        <w:pStyle w:val="0"/>
        <w:spacing w:before="240" w:line-rule="auto"/>
        <w:ind w:firstLine="540"/>
        <w:jc w:val="both"/>
      </w:pPr>
      <w:r>
        <w:rPr>
          <w:sz w:val="24"/>
        </w:rPr>
        <w:t xml:space="preserve">г) размер платы за выдачу заключения о проведении технологического аудита;</w:t>
      </w:r>
    </w:p>
    <w:p>
      <w:pPr>
        <w:pStyle w:val="0"/>
        <w:spacing w:before="240" w:line-rule="auto"/>
        <w:ind w:firstLine="540"/>
        <w:jc w:val="both"/>
      </w:pPr>
      <w:r>
        <w:rPr>
          <w:sz w:val="24"/>
        </w:rPr>
        <w:t xml:space="preserve">д) порядок выдачи заключения о проведении технологического аудита, а также порядок и срок возврата заявителю документов, представленных на бумажном носителе;</w:t>
      </w:r>
    </w:p>
    <w:p>
      <w:pPr>
        <w:pStyle w:val="0"/>
        <w:spacing w:before="240" w:line-rule="auto"/>
        <w:ind w:firstLine="540"/>
        <w:jc w:val="both"/>
      </w:pPr>
      <w:r>
        <w:rPr>
          <w:sz w:val="24"/>
        </w:rPr>
        <w:t xml:space="preserve">е) перечень оснований для внесения в договор изменений или его досрочного расторжения;</w:t>
      </w:r>
    </w:p>
    <w:p>
      <w:pPr>
        <w:pStyle w:val="0"/>
        <w:spacing w:before="240" w:line-rule="auto"/>
        <w:ind w:firstLine="540"/>
        <w:jc w:val="both"/>
      </w:pPr>
      <w:r>
        <w:rPr>
          <w:sz w:val="24"/>
        </w:rPr>
        <w:t xml:space="preserve">ж) ответственность сторон за неисполнение и (или) ненадлежащее исполнение обязательств, предусмотренных договором.</w:t>
      </w:r>
    </w:p>
    <w:bookmarkStart w:id="573" w:name="P573"/>
    <w:bookmarkEnd w:id="573"/>
    <w:p>
      <w:pPr>
        <w:pStyle w:val="0"/>
        <w:spacing w:before="240" w:line-rule="auto"/>
        <w:ind w:firstLine="540"/>
        <w:jc w:val="both"/>
      </w:pPr>
      <w:r>
        <w:rPr>
          <w:sz w:val="24"/>
        </w:rPr>
        <w:t xml:space="preserve">10. Срок выдачи заключения о проведении технологического аудита не должен превышать 20 рабочих дней, если иное не предусмотрено настоящим пунктом. При проведении технологического аудита, связанного со строительством, реконструкцией особо опасных, технически сложных и уникальных объектов капитального строительства, такой срок не должен превышать 25 рабочих дней. Указанный срок может быть продлен экспертным учреждением в случае, если на технологический аудит представлен проект, включающий в себя материалы, подготовленные в отношении 2 и более объектов, но не более чем на 10 рабочих дней.</w:t>
      </w:r>
    </w:p>
    <w:p>
      <w:pPr>
        <w:pStyle w:val="0"/>
        <w:jc w:val="both"/>
      </w:pPr>
      <w:r>
        <w:rPr>
          <w:sz w:val="24"/>
        </w:rPr>
      </w:r>
    </w:p>
    <w:p>
      <w:pPr>
        <w:pStyle w:val="2"/>
        <w:outlineLvl w:val="2"/>
        <w:jc w:val="center"/>
      </w:pPr>
      <w:r>
        <w:rPr>
          <w:sz w:val="24"/>
        </w:rPr>
        <w:t xml:space="preserve">III. Проведение технологического аудита</w:t>
      </w:r>
    </w:p>
    <w:p>
      <w:pPr>
        <w:pStyle w:val="0"/>
        <w:jc w:val="both"/>
      </w:pPr>
      <w:r>
        <w:rPr>
          <w:sz w:val="24"/>
        </w:rPr>
      </w:r>
    </w:p>
    <w:bookmarkStart w:id="577" w:name="P577"/>
    <w:bookmarkEnd w:id="577"/>
    <w:p>
      <w:pPr>
        <w:pStyle w:val="0"/>
        <w:ind w:firstLine="540"/>
        <w:jc w:val="both"/>
      </w:pPr>
      <w:r>
        <w:rPr>
          <w:sz w:val="24"/>
        </w:rPr>
        <w:t xml:space="preserve">11. Предметом технологического аудита является экспертная оценка:</w:t>
      </w:r>
    </w:p>
    <w:p>
      <w:pPr>
        <w:pStyle w:val="0"/>
        <w:spacing w:before="240" w:line-rule="auto"/>
        <w:ind w:firstLine="540"/>
        <w:jc w:val="both"/>
      </w:pPr>
      <w:r>
        <w:rPr>
          <w:sz w:val="24"/>
        </w:rPr>
        <w:t xml:space="preserve">а) оптимальности выбора места размещения объекта;</w:t>
      </w:r>
    </w:p>
    <w:p>
      <w:pPr>
        <w:pStyle w:val="0"/>
        <w:spacing w:before="240" w:line-rule="auto"/>
        <w:ind w:firstLine="540"/>
        <w:jc w:val="both"/>
      </w:pPr>
      <w:r>
        <w:rPr>
          <w:sz w:val="24"/>
        </w:rPr>
        <w:t xml:space="preserve">б) оптимальности выбора основных (принципиальных) архитектурных, технологических, конструктивных, объемно-планировочных, инженерно-технических решений и иных решений по строительству, реконструкции такого объекта, а также соответствия указанных решений современному уровню развития техники и технологий, современным строительным материалам и оборудованию, применяемым в строительстве;</w:t>
      </w:r>
    </w:p>
    <w:p>
      <w:pPr>
        <w:pStyle w:val="0"/>
        <w:spacing w:before="240" w:line-rule="auto"/>
        <w:ind w:firstLine="540"/>
        <w:jc w:val="both"/>
      </w:pPr>
      <w:r>
        <w:rPr>
          <w:sz w:val="24"/>
        </w:rPr>
        <w:t xml:space="preserve">в) обоснованности выбора основного технологического оборудования с учетом требований современных технологий производства на предмет возможности обеспечения требований к основным характеристикам продукции (работ и услуг);</w:t>
      </w:r>
    </w:p>
    <w:p>
      <w:pPr>
        <w:pStyle w:val="0"/>
        <w:spacing w:before="240" w:line-rule="auto"/>
        <w:ind w:firstLine="540"/>
        <w:jc w:val="both"/>
      </w:pPr>
      <w:r>
        <w:rPr>
          <w:sz w:val="24"/>
        </w:rPr>
        <w:t xml:space="preserve">г) достаточности и оптимальности сроков и этапов строительства, реконструкции объекта;</w:t>
      </w:r>
    </w:p>
    <w:p>
      <w:pPr>
        <w:pStyle w:val="0"/>
        <w:spacing w:before="240" w:line-rule="auto"/>
        <w:ind w:firstLine="540"/>
        <w:jc w:val="both"/>
      </w:pPr>
      <w:r>
        <w:rPr>
          <w:sz w:val="24"/>
        </w:rPr>
        <w:t xml:space="preserve">д) соответствия каждого объекта потребностям проекта;</w:t>
      </w:r>
    </w:p>
    <w:p>
      <w:pPr>
        <w:pStyle w:val="0"/>
        <w:spacing w:before="240" w:line-rule="auto"/>
        <w:ind w:firstLine="540"/>
        <w:jc w:val="both"/>
      </w:pPr>
      <w:r>
        <w:rPr>
          <w:sz w:val="24"/>
        </w:rPr>
        <w:t xml:space="preserve">е) соответствия объекта инфраструктуры перечню объектов инфраструктуры, в отношении которых может быть предоставлена мера государственной поддержки, указанная в </w:t>
      </w:r>
      <w:r>
        <w:rPr>
          <w:sz w:val="24"/>
        </w:rPr>
        <w:t xml:space="preserve">части 1 статьи 15</w:t>
      </w:r>
      <w:r>
        <w:rPr>
          <w:sz w:val="24"/>
        </w:rPr>
        <w:t xml:space="preserve"> Федерального закона, утверждаемому в соответствии с </w:t>
      </w:r>
      <w:hyperlink w:history="0" w:anchor="P193" w:tooltip="12.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
        <w:r>
          <w:rPr>
            <w:sz w:val="24"/>
            <w:color w:val="0000ff"/>
          </w:rPr>
          <w:t xml:space="preserve">пунктом 12</w:t>
        </w:r>
      </w:hyperlink>
      <w:r>
        <w:rPr>
          <w:sz w:val="24"/>
        </w:rPr>
        <w:t xml:space="preserve"> Правил возмещения затрат;</w:t>
      </w:r>
    </w:p>
    <w:p>
      <w:pPr>
        <w:pStyle w:val="0"/>
        <w:spacing w:before="240" w:line-rule="auto"/>
        <w:ind w:firstLine="540"/>
        <w:jc w:val="both"/>
      </w:pPr>
      <w:r>
        <w:rPr>
          <w:sz w:val="24"/>
        </w:rPr>
        <w:t xml:space="preserve">ж) обоснованности отнесения каждого объекта инфраструктуры к обеспечивающей или сопутствующей инфраструктуре.</w:t>
      </w:r>
    </w:p>
    <w:p>
      <w:pPr>
        <w:pStyle w:val="0"/>
        <w:spacing w:before="240" w:line-rule="auto"/>
        <w:ind w:firstLine="540"/>
        <w:jc w:val="both"/>
      </w:pPr>
      <w:r>
        <w:rPr>
          <w:sz w:val="24"/>
        </w:rPr>
        <w:t xml:space="preserve">12. В ходе проведения технологического аудита заявителем могут вноситься корректировки в документы (материалы) по замечаниям, изложенным экспертным учреждением, в порядке, установленном договором. Срок проведения такой корректировки составляет не более 5 рабочих дней после дня получения таких замечаний.</w:t>
      </w:r>
    </w:p>
    <w:p>
      <w:pPr>
        <w:pStyle w:val="0"/>
        <w:spacing w:before="240" w:line-rule="auto"/>
        <w:ind w:firstLine="540"/>
        <w:jc w:val="both"/>
      </w:pPr>
      <w:r>
        <w:rPr>
          <w:sz w:val="24"/>
        </w:rPr>
        <w:t xml:space="preserve">13. Документы (материалы) в случае внесения в них изменений по замечаниям, изложенным в отрицательном заключении о проведении технологического аудита, могут быть направлены на технологический аудит повторно (2 раза и более).</w:t>
      </w:r>
    </w:p>
    <w:p>
      <w:pPr>
        <w:pStyle w:val="0"/>
        <w:spacing w:before="240" w:line-rule="auto"/>
        <w:ind w:firstLine="540"/>
        <w:jc w:val="both"/>
      </w:pPr>
      <w:r>
        <w:rPr>
          <w:sz w:val="24"/>
        </w:rPr>
        <w:t xml:space="preserve">14. Повторное проведение технологического аудита осуществляется в порядке, предусмотренном настоящими Правилами.</w:t>
      </w:r>
    </w:p>
    <w:p>
      <w:pPr>
        <w:pStyle w:val="0"/>
        <w:jc w:val="both"/>
      </w:pPr>
      <w:r>
        <w:rPr>
          <w:sz w:val="24"/>
        </w:rPr>
      </w:r>
    </w:p>
    <w:p>
      <w:pPr>
        <w:pStyle w:val="2"/>
        <w:outlineLvl w:val="2"/>
        <w:jc w:val="center"/>
      </w:pPr>
      <w:r>
        <w:rPr>
          <w:sz w:val="24"/>
        </w:rPr>
        <w:t xml:space="preserve">IV. Результат технологического аудита</w:t>
      </w:r>
    </w:p>
    <w:p>
      <w:pPr>
        <w:pStyle w:val="0"/>
        <w:jc w:val="both"/>
      </w:pPr>
      <w:r>
        <w:rPr>
          <w:sz w:val="24"/>
        </w:rPr>
      </w:r>
    </w:p>
    <w:p>
      <w:pPr>
        <w:pStyle w:val="0"/>
        <w:ind w:firstLine="540"/>
        <w:jc w:val="both"/>
      </w:pPr>
      <w:r>
        <w:rPr>
          <w:sz w:val="24"/>
        </w:rPr>
        <w:t xml:space="preserve">15. Результатом технологического аудита является выдача положительного или отрицательного заключения о проведении технологического аудита, содержащего выводы по результатам экспертной оценки, предусмотренной </w:t>
      </w:r>
      <w:hyperlink w:history="0" w:anchor="P577" w:tooltip="11. Предметом технологического аудита является экспертная оценка:">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16. В случае представления документов (материалов) для проведения технологического аудита в электронной форме заключение о проведении технологического аудита направляется заявителю в электронной форме, в случае представления документов на бумажном носителе - на бумажном носителе.</w:t>
      </w:r>
    </w:p>
    <w:p>
      <w:pPr>
        <w:pStyle w:val="0"/>
        <w:spacing w:before="240" w:line-rule="auto"/>
        <w:ind w:firstLine="540"/>
        <w:jc w:val="both"/>
      </w:pPr>
      <w:r>
        <w:rPr>
          <w:sz w:val="24"/>
        </w:rPr>
        <w:t xml:space="preserve">Порядок выдачи заключения о проведении технологического аудита, а также порядок и срок возврата документов (материалов), представленных на бумажном носителе, определяются договором.</w:t>
      </w:r>
    </w:p>
    <w:p>
      <w:pPr>
        <w:pStyle w:val="0"/>
        <w:spacing w:before="240" w:line-rule="auto"/>
        <w:ind w:firstLine="540"/>
        <w:jc w:val="both"/>
      </w:pPr>
      <w:r>
        <w:rPr>
          <w:sz w:val="24"/>
        </w:rPr>
        <w:t xml:space="preserve">Заключение о проведении технологического аудита на бумажном носителе выдается в 4 экземплярах.</w:t>
      </w:r>
    </w:p>
    <w:p>
      <w:pPr>
        <w:pStyle w:val="0"/>
        <w:spacing w:before="240" w:line-rule="auto"/>
        <w:ind w:firstLine="540"/>
        <w:jc w:val="both"/>
      </w:pPr>
      <w:r>
        <w:rPr>
          <w:sz w:val="24"/>
        </w:rPr>
        <w:t xml:space="preserve">17. </w:t>
      </w:r>
      <w:r>
        <w:rPr>
          <w:sz w:val="24"/>
        </w:rPr>
        <w:t xml:space="preserve">Типовая форма</w:t>
      </w:r>
      <w:r>
        <w:rPr>
          <w:sz w:val="24"/>
        </w:rPr>
        <w:t xml:space="preserve"> заключения о проведении технологического аудита и </w:t>
      </w:r>
      <w:r>
        <w:rPr>
          <w:sz w:val="24"/>
        </w:rPr>
        <w:t xml:space="preserve">требования</w:t>
      </w:r>
      <w:r>
        <w:rPr>
          <w:sz w:val="24"/>
        </w:rPr>
        <w:t xml:space="preserve"> к его оформлению устанавливаются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18. Экспертное учреждение ведет реестр выданных заключений о проведении технологического аудита. Экспертное учреждение обязано принимать меры по обеспечению сохранности документов (материалов), представленных в целях выдачи заключения о проведении технологического аудита и сформированных при его проведении, а также по неразглашению содержащихся в таких документах (материалах) сведений, доступ к которым ограничен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V. Требования к составу и содержанию документов</w:t>
      </w:r>
    </w:p>
    <w:p>
      <w:pPr>
        <w:pStyle w:val="2"/>
        <w:jc w:val="center"/>
      </w:pPr>
      <w:r>
        <w:rPr>
          <w:sz w:val="24"/>
        </w:rPr>
        <w:t xml:space="preserve">(материалов), представленных в целях выдачи заключения</w:t>
      </w:r>
    </w:p>
    <w:p>
      <w:pPr>
        <w:pStyle w:val="2"/>
        <w:jc w:val="center"/>
      </w:pPr>
      <w:r>
        <w:rPr>
          <w:sz w:val="24"/>
        </w:rPr>
        <w:t xml:space="preserve">о проведении технологического аудита</w:t>
      </w:r>
    </w:p>
    <w:p>
      <w:pPr>
        <w:pStyle w:val="0"/>
        <w:jc w:val="both"/>
      </w:pPr>
      <w:r>
        <w:rPr>
          <w:sz w:val="24"/>
        </w:rPr>
      </w:r>
    </w:p>
    <w:bookmarkStart w:id="602" w:name="P602"/>
    <w:bookmarkEnd w:id="602"/>
    <w:p>
      <w:pPr>
        <w:pStyle w:val="0"/>
        <w:ind w:firstLine="540"/>
        <w:jc w:val="both"/>
      </w:pPr>
      <w:r>
        <w:rPr>
          <w:sz w:val="24"/>
        </w:rPr>
        <w:t xml:space="preserve">19. Задание на проектирование представляет собой документ, содержащий требования к подготовке проектной документации для обеспечения создания (строительства) либо реконструкции объекта в соответствии с требованиями законодательства Российской Федерации.</w:t>
      </w:r>
    </w:p>
    <w:p>
      <w:pPr>
        <w:pStyle w:val="0"/>
        <w:spacing w:before="240" w:line-rule="auto"/>
        <w:ind w:firstLine="540"/>
        <w:jc w:val="both"/>
      </w:pPr>
      <w:r>
        <w:rPr>
          <w:sz w:val="24"/>
        </w:rPr>
        <w:t xml:space="preserve">20. Материалы, подтверждающие решения, содержащиеся в задании на проектирование, состоят из текстовой и графической частей.</w:t>
      </w:r>
    </w:p>
    <w:p>
      <w:pPr>
        <w:pStyle w:val="0"/>
        <w:spacing w:before="240" w:line-rule="auto"/>
        <w:ind w:firstLine="540"/>
        <w:jc w:val="both"/>
      </w:pPr>
      <w:r>
        <w:rPr>
          <w:sz w:val="24"/>
        </w:rPr>
        <w:t xml:space="preserve">Текстовая часть содержит описание проекта, сведения об объекте, описание предлагаемых основных (принципиальных) архитектурных, технологических, конструктивных, объемно-планировочных, инженерно-технических и иных решений, пояснения, ссылки на нормативные и (или) технические документы, используемые при подготовке проекта, а также результаты расчетов, обосновывающие принятые решения.</w:t>
      </w:r>
    </w:p>
    <w:p>
      <w:pPr>
        <w:pStyle w:val="0"/>
        <w:spacing w:before="240" w:line-rule="auto"/>
        <w:ind w:firstLine="540"/>
        <w:jc w:val="both"/>
      </w:pPr>
      <w:r>
        <w:rPr>
          <w:sz w:val="24"/>
        </w:rPr>
        <w:t xml:space="preserve">Графическая часть отображает предлагаемые конструктивные, объемно-планировочные и иные решения и выполняется в виде чертежей, схем, планов и других документов в графической форме.</w:t>
      </w:r>
    </w:p>
    <w:p>
      <w:pPr>
        <w:pStyle w:val="0"/>
        <w:spacing w:before="240" w:line-rule="auto"/>
        <w:ind w:firstLine="540"/>
        <w:jc w:val="both"/>
      </w:pPr>
      <w:r>
        <w:rPr>
          <w:sz w:val="24"/>
        </w:rPr>
        <w:t xml:space="preserve">Выполнение и оформление текстовых и графических материалов осуществляются в соответствии с правилами выполнения и оформления текстовых и графических материалов, входящих в состав проектной и рабочей документации, установленными Министерством строительства и жилищно-коммунального хозяйства Российской Федерации.</w:t>
      </w:r>
    </w:p>
    <w:bookmarkStart w:id="607" w:name="P607"/>
    <w:bookmarkEnd w:id="607"/>
    <w:p>
      <w:pPr>
        <w:pStyle w:val="0"/>
        <w:spacing w:before="240" w:line-rule="auto"/>
        <w:ind w:firstLine="540"/>
        <w:jc w:val="both"/>
      </w:pPr>
      <w:r>
        <w:rPr>
          <w:sz w:val="24"/>
        </w:rPr>
        <w:t xml:space="preserve">21. Материалы, подтверждающие решения, содержащиеся в задании на проектирование, состоят из следующих разделов:</w:t>
      </w:r>
    </w:p>
    <w:p>
      <w:pPr>
        <w:pStyle w:val="0"/>
        <w:spacing w:before="240" w:line-rule="auto"/>
        <w:ind w:firstLine="540"/>
        <w:jc w:val="both"/>
      </w:pPr>
      <w:r>
        <w:rPr>
          <w:sz w:val="24"/>
        </w:rPr>
        <w:t xml:space="preserve">а) пояснительная записка, в которой указываются:</w:t>
      </w:r>
    </w:p>
    <w:bookmarkStart w:id="609" w:name="P609"/>
    <w:bookmarkEnd w:id="609"/>
    <w:p>
      <w:pPr>
        <w:pStyle w:val="0"/>
        <w:spacing w:before="240" w:line-rule="auto"/>
        <w:ind w:firstLine="540"/>
        <w:jc w:val="both"/>
      </w:pPr>
      <w:r>
        <w:rPr>
          <w:sz w:val="24"/>
        </w:rPr>
        <w:t xml:space="preserve">исходные данные и условия для подготовки проекта, включая реквизиты отчетной документации о выполнении инженерных изысканий, градостроительного плана земельного участка, на котором планируется размещение объекта (земельных участков - в случае если предлагаются несколько вариантов размещения объекта), или проекта планировки территории и проекта межевания территории в случае строительства, реконструкции линейного объекта;</w:t>
      </w:r>
    </w:p>
    <w:p>
      <w:pPr>
        <w:pStyle w:val="0"/>
        <w:spacing w:before="240" w:line-rule="auto"/>
        <w:ind w:firstLine="540"/>
        <w:jc w:val="both"/>
      </w:pPr>
      <w:r>
        <w:rPr>
          <w:sz w:val="24"/>
        </w:rPr>
        <w:t xml:space="preserve">описание вариантов размещения объекта на одном или нескольких земельных участках, основные критерии и обоснование оптимальности выбора площадки для размещения объекта, в том числе с учетом результатов инженерных изысканий, выполненных для подготовки проекта, экологических, техногенных, логистических рисков и рисков ресурсного обеспечения строительства, реконструкции;</w:t>
      </w:r>
    </w:p>
    <w:p>
      <w:pPr>
        <w:pStyle w:val="0"/>
        <w:spacing w:before="240" w:line-rule="auto"/>
        <w:ind w:firstLine="540"/>
        <w:jc w:val="both"/>
      </w:pPr>
      <w:r>
        <w:rPr>
          <w:sz w:val="24"/>
        </w:rPr>
        <w:t xml:space="preserve">сведения о размере средств, требующихся в связи с планируемым изъятием земельных участков для государственных или муниципальных нужд (в случае если планируется такое изъятие);</w:t>
      </w:r>
    </w:p>
    <w:p>
      <w:pPr>
        <w:pStyle w:val="0"/>
        <w:spacing w:before="240" w:line-rule="auto"/>
        <w:ind w:firstLine="540"/>
        <w:jc w:val="both"/>
      </w:pPr>
      <w:r>
        <w:rPr>
          <w:sz w:val="24"/>
        </w:rPr>
        <w:t xml:space="preserve">технико-экономические показатели объекта, в том числе данные о проектной мощности, значимости объекта для поселений (муниципального образования) и другие данные, характеризующие объект;</w:t>
      </w:r>
    </w:p>
    <w:p>
      <w:pPr>
        <w:pStyle w:val="0"/>
        <w:spacing w:before="240" w:line-rule="auto"/>
        <w:ind w:firstLine="540"/>
        <w:jc w:val="both"/>
      </w:pPr>
      <w:r>
        <w:rPr>
          <w:sz w:val="24"/>
        </w:rPr>
        <w:t xml:space="preserve">сведения о функциональном назначении объекта, состав и характеристика производства, номенклатура выпускаемой продукции (работ, услуг);</w:t>
      </w:r>
    </w:p>
    <w:p>
      <w:pPr>
        <w:pStyle w:val="0"/>
        <w:spacing w:before="240" w:line-rule="auto"/>
        <w:ind w:firstLine="540"/>
        <w:jc w:val="both"/>
      </w:pPr>
      <w:r>
        <w:rPr>
          <w:sz w:val="24"/>
        </w:rPr>
        <w:t xml:space="preserve">сведения о потребности объекта в топливе, газе, воде и электрической энергии, а также о возможности предоставления технических условий подключения (технологического присоединения) к сетям инженерно-технического обеспечения;</w:t>
      </w:r>
    </w:p>
    <w:p>
      <w:pPr>
        <w:pStyle w:val="0"/>
        <w:spacing w:before="240" w:line-rule="auto"/>
        <w:ind w:firstLine="540"/>
        <w:jc w:val="both"/>
      </w:pPr>
      <w:r>
        <w:rPr>
          <w:sz w:val="24"/>
        </w:rPr>
        <w:t xml:space="preserve">материалы, подтверждающие соответствие объекта потребностям проекта, а также материалы, подтверждающие обоснованность отнесения объекта инфраструктуры к обеспечивающей или сопутствующей инфраструктуре;</w:t>
      </w:r>
    </w:p>
    <w:p>
      <w:pPr>
        <w:pStyle w:val="0"/>
        <w:spacing w:before="240" w:line-rule="auto"/>
        <w:ind w:firstLine="540"/>
        <w:jc w:val="both"/>
      </w:pPr>
      <w:r>
        <w:rPr>
          <w:sz w:val="24"/>
        </w:rPr>
        <w:t xml:space="preserve">оценка соответствия объекта потребностям проекта;</w:t>
      </w:r>
    </w:p>
    <w:p>
      <w:pPr>
        <w:pStyle w:val="0"/>
        <w:spacing w:before="240" w:line-rule="auto"/>
        <w:ind w:firstLine="540"/>
        <w:jc w:val="both"/>
      </w:pPr>
      <w:r>
        <w:rPr>
          <w:sz w:val="24"/>
        </w:rPr>
        <w:t xml:space="preserve">б) документы (копии документов, оформленные в установленном порядке), указанные в </w:t>
      </w:r>
      <w:hyperlink w:history="0" w:anchor="P609" w:tooltip="исходные данные и условия для подготовки проекта, включая реквизиты отчетной документации о выполнении инженерных изысканий, градостроительного плана земельного участка, на котором планируется размещение объекта (земельных участков - в случае если предлагаются несколько вариантов размещения объекта), или проекта планировки территории и проекта межевания территории в случае строительства, реконструкции линейного объекта;">
        <w:r>
          <w:rPr>
            <w:sz w:val="24"/>
            <w:color w:val="0000ff"/>
          </w:rPr>
          <w:t xml:space="preserve">абзаце втором подпункта "а"</w:t>
        </w:r>
      </w:hyperlink>
      <w:r>
        <w:rPr>
          <w:sz w:val="24"/>
        </w:rPr>
        <w:t xml:space="preserve"> настоящего пункта, которые прилагаются к пояснительной записке в полном объеме;</w:t>
      </w:r>
    </w:p>
    <w:p>
      <w:pPr>
        <w:pStyle w:val="0"/>
        <w:spacing w:before="240" w:line-rule="auto"/>
        <w:ind w:firstLine="540"/>
        <w:jc w:val="both"/>
      </w:pPr>
      <w:r>
        <w:rPr>
          <w:sz w:val="24"/>
        </w:rPr>
        <w:t xml:space="preserve">в) схема планировочной организации земельного участка, состоящая из текстовой и графических частей, включающая:</w:t>
      </w:r>
    </w:p>
    <w:p>
      <w:pPr>
        <w:pStyle w:val="0"/>
        <w:spacing w:before="240" w:line-rule="auto"/>
        <w:ind w:firstLine="540"/>
        <w:jc w:val="both"/>
      </w:pPr>
      <w:r>
        <w:rPr>
          <w:sz w:val="24"/>
        </w:rPr>
        <w:t xml:space="preserve">краткую характеристику места размещения объекта, описание земельного участка (земельных участков) (в том числе сведения о категории земель), обоснование планировочной организации земельного участка (земельных участков), схем транспортных коммуникаций и решений по благоустройству территории (текстовая часть);</w:t>
      </w:r>
    </w:p>
    <w:p>
      <w:pPr>
        <w:pStyle w:val="0"/>
        <w:spacing w:before="240" w:line-rule="auto"/>
        <w:ind w:firstLine="540"/>
        <w:jc w:val="both"/>
      </w:pPr>
      <w:r>
        <w:rPr>
          <w:sz w:val="24"/>
        </w:rPr>
        <w:t xml:space="preserve">указание размеров земельного участка (земельных участков), на котором планируется размещение объекта, если такие размеры не установлены нормами отвода земель для конкретных видов деятельности, или правилами землепользования и застройки, или проектом планировки территории, проектом межевания территории, и информацию об оформлении прав на такой земельный участок (текстовая часть);</w:t>
      </w:r>
    </w:p>
    <w:p>
      <w:pPr>
        <w:pStyle w:val="0"/>
        <w:spacing w:before="240" w:line-rule="auto"/>
        <w:ind w:firstLine="540"/>
        <w:jc w:val="both"/>
      </w:pPr>
      <w:r>
        <w:rPr>
          <w:sz w:val="24"/>
        </w:rPr>
        <w:t xml:space="preserve">обоснование решений по инженерной подготовке территории, в том числе описание решений по инженерной защите территории и объекта от последствий опасных геологических процессов, паводковых, поверхностных и грунтовых вод (текстовая часть);</w:t>
      </w:r>
    </w:p>
    <w:p>
      <w:pPr>
        <w:pStyle w:val="0"/>
        <w:spacing w:before="240" w:line-rule="auto"/>
        <w:ind w:firstLine="540"/>
        <w:jc w:val="both"/>
      </w:pPr>
      <w:r>
        <w:rPr>
          <w:sz w:val="24"/>
        </w:rPr>
        <w:t xml:space="preserve">схему планировочной организации земельного участка (графическая часть);</w:t>
      </w:r>
    </w:p>
    <w:p>
      <w:pPr>
        <w:pStyle w:val="0"/>
        <w:spacing w:before="240" w:line-rule="auto"/>
        <w:ind w:firstLine="540"/>
        <w:jc w:val="both"/>
      </w:pPr>
      <w:r>
        <w:rPr>
          <w:sz w:val="24"/>
        </w:rPr>
        <w:t xml:space="preserve">ситуационный план размещения объекта в границах земельного участка (графическая часть);</w:t>
      </w:r>
    </w:p>
    <w:p>
      <w:pPr>
        <w:pStyle w:val="0"/>
        <w:spacing w:before="240" w:line-rule="auto"/>
        <w:ind w:firstLine="540"/>
        <w:jc w:val="both"/>
      </w:pPr>
      <w:r>
        <w:rPr>
          <w:sz w:val="24"/>
        </w:rPr>
        <w:t xml:space="preserve">г) основные (принципиальные) архитектурные решения, содержащие описание и обоснование внешнего вида объекта и параметров его пространственной, планировочной и функциональной организации с учетом стоимости, соответствия современному уровню техники и технологий и эксплуатационных расходов;</w:t>
      </w:r>
    </w:p>
    <w:p>
      <w:pPr>
        <w:pStyle w:val="0"/>
        <w:spacing w:before="240" w:line-rule="auto"/>
        <w:ind w:firstLine="540"/>
        <w:jc w:val="both"/>
      </w:pPr>
      <w:r>
        <w:rPr>
          <w:sz w:val="24"/>
        </w:rPr>
        <w:t xml:space="preserve">д) основные (принципиальные) технологические решения, содержащие:</w:t>
      </w:r>
    </w:p>
    <w:p>
      <w:pPr>
        <w:pStyle w:val="0"/>
        <w:spacing w:before="240" w:line-rule="auto"/>
        <w:ind w:firstLine="540"/>
        <w:jc w:val="both"/>
      </w:pPr>
      <w:r>
        <w:rPr>
          <w:sz w:val="24"/>
        </w:rPr>
        <w:t xml:space="preserve">описание основных принципиальных технических решений, в том числе по выбору технологического оборудования с учетом мощности и функционального назначения объекта, импортозависимости и необходимости импортозамещения в рамках реализации проекта;</w:t>
      </w:r>
    </w:p>
    <w:p>
      <w:pPr>
        <w:pStyle w:val="0"/>
        <w:spacing w:before="240" w:line-rule="auto"/>
        <w:ind w:firstLine="540"/>
        <w:jc w:val="both"/>
      </w:pPr>
      <w:r>
        <w:rPr>
          <w:sz w:val="24"/>
        </w:rPr>
        <w:t xml:space="preserve">сведения о соответствии объекта требованиям энергетической эффективности и его оснащенности приборами учета используемых энергетических ресурсов;</w:t>
      </w:r>
    </w:p>
    <w:p>
      <w:pPr>
        <w:pStyle w:val="0"/>
        <w:spacing w:before="240" w:line-rule="auto"/>
        <w:ind w:firstLine="540"/>
        <w:jc w:val="both"/>
      </w:pPr>
      <w:r>
        <w:rPr>
          <w:sz w:val="24"/>
        </w:rPr>
        <w:t xml:space="preserve">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0"/>
        <w:spacing w:before="240" w:line-rule="auto"/>
        <w:ind w:firstLine="540"/>
        <w:jc w:val="both"/>
      </w:pPr>
      <w:r>
        <w:rPr>
          <w:sz w:val="24"/>
        </w:rPr>
        <w:t xml:space="preserve">сведения о категории (классе) линейного объекта, мощности (пропускной способности), характеристиках транспортируемого продукта (для трубопроводов), характеристиках технологического оборудования и (или) устройств линейного объекта, перечень мероприятий по энергосбережению, необходимости импортозамещения - для линейного объекта;</w:t>
      </w:r>
    </w:p>
    <w:p>
      <w:pPr>
        <w:pStyle w:val="0"/>
        <w:spacing w:before="240" w:line-rule="auto"/>
        <w:ind w:firstLine="540"/>
        <w:jc w:val="both"/>
      </w:pPr>
      <w:r>
        <w:rPr>
          <w:sz w:val="24"/>
        </w:rPr>
        <w:t xml:space="preserve">в графической части схему линейного объекта с обозначением мест установки технологического оборудования - для линейного объекта (при наличии);</w:t>
      </w:r>
    </w:p>
    <w:p>
      <w:pPr>
        <w:pStyle w:val="0"/>
        <w:spacing w:before="240" w:line-rule="auto"/>
        <w:ind w:firstLine="540"/>
        <w:jc w:val="both"/>
      </w:pPr>
      <w:r>
        <w:rPr>
          <w:sz w:val="24"/>
        </w:rPr>
        <w:t xml:space="preserve">описание решений по строительству (прокладке) трубопроводов, в том числе в сложных инженерно-геологических условиях (при необходимости), описание конструктивных решений по устройству опорных конструкций трубопроводов, отдельных элементов опор и оснований фундаментов - для трубопроводов;</w:t>
      </w:r>
    </w:p>
    <w:p>
      <w:pPr>
        <w:pStyle w:val="0"/>
        <w:spacing w:before="240" w:line-rule="auto"/>
        <w:ind w:firstLine="540"/>
        <w:jc w:val="both"/>
      </w:pPr>
      <w:r>
        <w:rPr>
          <w:sz w:val="24"/>
        </w:rPr>
        <w:t xml:space="preserve">е) основные (принципиальные) конструктивные решения и объемно-планировочные решения, состоящие из текстовой и графической частей, включая:</w:t>
      </w:r>
    </w:p>
    <w:p>
      <w:pPr>
        <w:pStyle w:val="0"/>
        <w:spacing w:before="240" w:line-rule="auto"/>
        <w:ind w:firstLine="540"/>
        <w:jc w:val="both"/>
      </w:pPr>
      <w:r>
        <w:rPr>
          <w:sz w:val="24"/>
        </w:rPr>
        <w:t xml:space="preserve">сведения о топографических, инженерно-геологических, гидрогеологических, метеорологических и климатических условиях земельного участка (земельных участков) для размещения объекта (текстовая часть);</w:t>
      </w:r>
    </w:p>
    <w:p>
      <w:pPr>
        <w:pStyle w:val="0"/>
        <w:spacing w:before="240" w:line-rule="auto"/>
        <w:ind w:firstLine="540"/>
        <w:jc w:val="both"/>
      </w:pPr>
      <w:r>
        <w:rPr>
          <w:sz w:val="24"/>
        </w:rPr>
        <w:t xml:space="preserve">описание основных (принципиальных) конструктивных решений (конструктивной схемы с указанием материалов несущих и ограждающих конструкций, технических решений, обеспечивающих необходимую прочность, устойчивость, пространственную неизменяемость зданий и сооружений, типа и глубины заложения фундаментов) и объемно-планировочных решений (текстовая часть);</w:t>
      </w:r>
    </w:p>
    <w:p>
      <w:pPr>
        <w:pStyle w:val="0"/>
        <w:spacing w:before="240" w:line-rule="auto"/>
        <w:ind w:firstLine="540"/>
        <w:jc w:val="both"/>
      </w:pPr>
      <w:r>
        <w:rPr>
          <w:sz w:val="24"/>
        </w:rPr>
        <w:t xml:space="preserve">поэтажные планы зданий и сооружений (графическая часть, при наличии);</w:t>
      </w:r>
    </w:p>
    <w:p>
      <w:pPr>
        <w:pStyle w:val="0"/>
        <w:spacing w:before="240" w:line-rule="auto"/>
        <w:ind w:firstLine="540"/>
        <w:jc w:val="both"/>
      </w:pPr>
      <w:r>
        <w:rPr>
          <w:sz w:val="24"/>
        </w:rPr>
        <w:t xml:space="preserve">чертежи характерных разрезов зданий и сооружений (графическая часть, при наличии);</w:t>
      </w:r>
    </w:p>
    <w:p>
      <w:pPr>
        <w:pStyle w:val="0"/>
        <w:spacing w:before="240" w:line-rule="auto"/>
        <w:ind w:firstLine="540"/>
        <w:jc w:val="both"/>
      </w:pPr>
      <w:r>
        <w:rPr>
          <w:sz w:val="24"/>
        </w:rPr>
        <w:t xml:space="preserve">схемы несущих и ограждающих конструкций (графическая часть, при наличии);</w:t>
      </w:r>
    </w:p>
    <w:p>
      <w:pPr>
        <w:pStyle w:val="0"/>
        <w:spacing w:before="240" w:line-rule="auto"/>
        <w:ind w:firstLine="540"/>
        <w:jc w:val="both"/>
      </w:pPr>
      <w:r>
        <w:rPr>
          <w:sz w:val="24"/>
        </w:rPr>
        <w:t xml:space="preserve">ж) сведения об основном технологическом оборудовании, инженерном оборудовании, о сетях инженерно-технического обеспечения и об инженерно-технических решениях, включающие:</w:t>
      </w:r>
    </w:p>
    <w:p>
      <w:pPr>
        <w:pStyle w:val="0"/>
        <w:spacing w:before="240" w:line-rule="auto"/>
        <w:ind w:firstLine="540"/>
        <w:jc w:val="both"/>
      </w:pPr>
      <w:r>
        <w:rPr>
          <w:sz w:val="24"/>
        </w:rPr>
        <w:t xml:space="preserve">информацию о соответствии предлагаемых решений предварительным сведениям о возможности получения технических условий на подключение (технологическое присоединение) объекта к сетям инженерно-технического обеспечения;</w:t>
      </w:r>
    </w:p>
    <w:p>
      <w:pPr>
        <w:pStyle w:val="0"/>
        <w:spacing w:before="240" w:line-rule="auto"/>
        <w:ind w:firstLine="540"/>
        <w:jc w:val="both"/>
      </w:pPr>
      <w:r>
        <w:rPr>
          <w:sz w:val="24"/>
        </w:rPr>
        <w:t xml:space="preserve">сведения о потребности объекта в топливе, газе, воде и электрической энергии, состав и основные параметры систем электроснабжения, водоснабжения, водоотведения, газоснабжения, систем отопления, вентиляции и кондиционирования воздуха, тепловых сетей, сетей связи;</w:t>
      </w:r>
    </w:p>
    <w:p>
      <w:pPr>
        <w:pStyle w:val="0"/>
        <w:spacing w:before="240" w:line-rule="auto"/>
        <w:ind w:firstLine="540"/>
        <w:jc w:val="both"/>
      </w:pPr>
      <w:r>
        <w:rPr>
          <w:sz w:val="24"/>
        </w:rPr>
        <w:t xml:space="preserve">описание инженерно-технических решений и обоснование выбора оборудования по укрупненной номенклатуре;</w:t>
      </w:r>
    </w:p>
    <w:p>
      <w:pPr>
        <w:pStyle w:val="0"/>
        <w:spacing w:before="240" w:line-rule="auto"/>
        <w:ind w:firstLine="540"/>
        <w:jc w:val="both"/>
      </w:pPr>
      <w:r>
        <w:rPr>
          <w:sz w:val="24"/>
        </w:rPr>
        <w:t xml:space="preserve">з) проект организации строительства, включающий:</w:t>
      </w:r>
    </w:p>
    <w:p>
      <w:pPr>
        <w:pStyle w:val="0"/>
        <w:spacing w:before="240" w:line-rule="auto"/>
        <w:ind w:firstLine="540"/>
        <w:jc w:val="both"/>
      </w:pPr>
      <w:r>
        <w:rPr>
          <w:sz w:val="24"/>
        </w:rPr>
        <w:t xml:space="preserve">краткую характеристику района места расположения объекта и условий строительства;</w:t>
      </w:r>
    </w:p>
    <w:p>
      <w:pPr>
        <w:pStyle w:val="0"/>
        <w:spacing w:before="240" w:line-rule="auto"/>
        <w:ind w:firstLine="540"/>
        <w:jc w:val="both"/>
      </w:pPr>
      <w:r>
        <w:rPr>
          <w:sz w:val="24"/>
        </w:rPr>
        <w:t xml:space="preserve">описание принципиальной организационно-технологической схемы, определяющей последовательность строительства зданий и сооружений, инженерных и транспортных коммуникаций, обеспечивающей соблюдение планируемых сроков завершения строительства (этапов строительства);</w:t>
      </w:r>
    </w:p>
    <w:p>
      <w:pPr>
        <w:pStyle w:val="0"/>
        <w:spacing w:before="240" w:line-rule="auto"/>
        <w:ind w:firstLine="540"/>
        <w:jc w:val="both"/>
      </w:pPr>
      <w:r>
        <w:rPr>
          <w:sz w:val="24"/>
        </w:rPr>
        <w:t xml:space="preserve">описание особенностей проведения работ в условиях действующего предприятия (при необходимости - для объектов производственного назначения), в местах расположения подземных коммуникаций, линий электропередачи и связи и в условиях стесненной городской застройки;</w:t>
      </w:r>
    </w:p>
    <w:p>
      <w:pPr>
        <w:pStyle w:val="0"/>
        <w:spacing w:before="240" w:line-rule="auto"/>
        <w:ind w:firstLine="540"/>
        <w:jc w:val="both"/>
      </w:pPr>
      <w:r>
        <w:rPr>
          <w:sz w:val="24"/>
        </w:rPr>
        <w:t xml:space="preserve">определение планируемой продолжительности строительства объекта и его отдельных этапов;</w:t>
      </w:r>
    </w:p>
    <w:p>
      <w:pPr>
        <w:pStyle w:val="0"/>
        <w:spacing w:before="240" w:line-rule="auto"/>
        <w:ind w:firstLine="540"/>
        <w:jc w:val="both"/>
      </w:pPr>
      <w:r>
        <w:rPr>
          <w:sz w:val="24"/>
        </w:rPr>
        <w:t xml:space="preserve">и) перечень мероприятий по обеспечению пожарной безопасности, содержащий описание основных решений по организации системы обеспечения пожарной безопасности объекта и безопасности людей при возникновении пожара;</w:t>
      </w:r>
    </w:p>
    <w:p>
      <w:pPr>
        <w:pStyle w:val="0"/>
        <w:spacing w:before="240" w:line-rule="auto"/>
        <w:ind w:firstLine="540"/>
        <w:jc w:val="both"/>
      </w:pPr>
      <w:r>
        <w:rPr>
          <w:sz w:val="24"/>
        </w:rPr>
        <w:t xml:space="preserve">к) перечень мероприятий по обеспечению соблюдения требований энергетической эффективности и оснащенности зданий, строений и сооружений приборами учета используемых энергетических ресурсов, содержащий сведения о классе энергетической эффективности объекта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возмещения затрат,</w:t>
      </w:r>
    </w:p>
    <w:p>
      <w:pPr>
        <w:pStyle w:val="0"/>
        <w:jc w:val="right"/>
      </w:pPr>
      <w:r>
        <w:rPr>
          <w:sz w:val="24"/>
        </w:rPr>
        <w:t xml:space="preserve">указанных в части 1 статьи 15</w:t>
      </w:r>
    </w:p>
    <w:p>
      <w:pPr>
        <w:pStyle w:val="0"/>
        <w:jc w:val="right"/>
      </w:pPr>
      <w:r>
        <w:rPr>
          <w:sz w:val="24"/>
        </w:rPr>
        <w:t xml:space="preserve">Федерального закона "О защите</w:t>
      </w:r>
    </w:p>
    <w:p>
      <w:pPr>
        <w:pStyle w:val="0"/>
        <w:jc w:val="right"/>
      </w:pPr>
      <w:r>
        <w:rPr>
          <w:sz w:val="24"/>
        </w:rPr>
        <w:t xml:space="preserve">и поощрении капиталовложений</w:t>
      </w:r>
    </w:p>
    <w:p>
      <w:pPr>
        <w:pStyle w:val="0"/>
        <w:jc w:val="right"/>
      </w:pPr>
      <w:r>
        <w:rPr>
          <w:sz w:val="24"/>
        </w:rPr>
        <w:t xml:space="preserve">в Российской Федерации", понесенных</w:t>
      </w:r>
    </w:p>
    <w:p>
      <w:pPr>
        <w:pStyle w:val="0"/>
        <w:jc w:val="right"/>
      </w:pPr>
      <w:r>
        <w:rPr>
          <w:sz w:val="24"/>
        </w:rPr>
        <w:t xml:space="preserve">организацией, реализующей проект,</w:t>
      </w:r>
    </w:p>
    <w:p>
      <w:pPr>
        <w:pStyle w:val="0"/>
        <w:jc w:val="right"/>
      </w:pPr>
      <w:r>
        <w:rPr>
          <w:sz w:val="24"/>
        </w:rPr>
        <w:t xml:space="preserve">в рамках осуществления инвестиционного</w:t>
      </w:r>
    </w:p>
    <w:p>
      <w:pPr>
        <w:pStyle w:val="0"/>
        <w:jc w:val="right"/>
      </w:pPr>
      <w:r>
        <w:rPr>
          <w:sz w:val="24"/>
        </w:rPr>
        <w:t xml:space="preserve">проекта, в отношении которого</w:t>
      </w:r>
    </w:p>
    <w:p>
      <w:pPr>
        <w:pStyle w:val="0"/>
        <w:jc w:val="right"/>
      </w:pPr>
      <w:r>
        <w:rPr>
          <w:sz w:val="24"/>
        </w:rPr>
        <w:t xml:space="preserve">заключено соглашение о защите</w:t>
      </w:r>
    </w:p>
    <w:p>
      <w:pPr>
        <w:pStyle w:val="0"/>
        <w:jc w:val="right"/>
      </w:pPr>
      <w:r>
        <w:rPr>
          <w:sz w:val="24"/>
        </w:rPr>
        <w:t xml:space="preserve">и поощрении капиталовложений</w:t>
      </w:r>
    </w:p>
    <w:p>
      <w:pPr>
        <w:pStyle w:val="0"/>
        <w:jc w:val="both"/>
      </w:pPr>
      <w:r>
        <w:rPr>
          <w:sz w:val="24"/>
        </w:rPr>
      </w:r>
    </w:p>
    <w:bookmarkStart w:id="666" w:name="P666"/>
    <w:bookmarkEnd w:id="666"/>
    <w:p>
      <w:pPr>
        <w:pStyle w:val="2"/>
        <w:jc w:val="center"/>
      </w:pPr>
      <w:r>
        <w:rPr>
          <w:sz w:val="24"/>
        </w:rPr>
        <w:t xml:space="preserve">ФОРМА РАСЧЕТА</w:t>
      </w:r>
    </w:p>
    <w:p>
      <w:pPr>
        <w:pStyle w:val="2"/>
        <w:jc w:val="center"/>
      </w:pPr>
      <w:r>
        <w:rPr>
          <w:sz w:val="24"/>
        </w:rPr>
        <w:t xml:space="preserve">ОБЪЕМА ВОЗМЕЩЕНИЯ ЗАТРАТ, УКАЗАННЫХ В ЧАСТИ 1</w:t>
      </w:r>
    </w:p>
    <w:p>
      <w:pPr>
        <w:pStyle w:val="2"/>
        <w:jc w:val="center"/>
      </w:pPr>
      <w:r>
        <w:rPr>
          <w:sz w:val="24"/>
        </w:rPr>
        <w:t xml:space="preserve">СТАТЬИ 15 ФЕДЕРАЛЬНОГО ЗАКОНА "О ЗАЩИТЕ И ПООЩРЕНИИ</w:t>
      </w:r>
    </w:p>
    <w:p>
      <w:pPr>
        <w:pStyle w:val="2"/>
        <w:jc w:val="center"/>
      </w:pPr>
      <w:r>
        <w:rPr>
          <w:sz w:val="24"/>
        </w:rPr>
        <w:t xml:space="preserve">КАПИТАЛОВЛОЖЕНИЙ В РОССИЙСКОЙ ФЕДЕРАЦИИ", ПОНЕСЕННЫХ</w:t>
      </w:r>
    </w:p>
    <w:p>
      <w:pPr>
        <w:pStyle w:val="2"/>
        <w:jc w:val="center"/>
      </w:pPr>
      <w:r>
        <w:rPr>
          <w:sz w:val="24"/>
        </w:rPr>
        <w:t xml:space="preserve">ОРГАНИЗАЦИЕЙ, РЕАЛИЗУЮЩЕЙ ПРОЕКТ, В РАМКАХ ОСУЩЕСТВЛЕНИЯ</w:t>
      </w:r>
    </w:p>
    <w:p>
      <w:pPr>
        <w:pStyle w:val="2"/>
        <w:jc w:val="center"/>
      </w:pPr>
      <w:r>
        <w:rPr>
          <w:sz w:val="24"/>
        </w:rPr>
        <w:t xml:space="preserve">ИНВЕСТИЦИОННОГО ПРОЕКТА, В ОТНОШЕНИИ КОТОРОГО ЗАКЛЮЧЕНО</w:t>
      </w:r>
    </w:p>
    <w:p>
      <w:pPr>
        <w:pStyle w:val="2"/>
        <w:jc w:val="center"/>
      </w:pPr>
      <w:r>
        <w:rPr>
          <w:sz w:val="24"/>
        </w:rPr>
        <w:t xml:space="preserve">СОГЛАШЕНИЕ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05.12.2022 </w:t>
            </w:r>
            <w:r>
              <w:rPr>
                <w:sz w:val="24"/>
                <w:color w:val="392c69"/>
              </w:rPr>
              <w:t xml:space="preserve">N 2232</w:t>
            </w:r>
            <w:r>
              <w:rPr>
                <w:sz w:val="24"/>
                <w:color w:val="392c69"/>
              </w:rPr>
              <w:t xml:space="preserve">,</w:t>
            </w:r>
          </w:p>
          <w:p>
            <w:pPr>
              <w:pStyle w:val="0"/>
              <w:jc w:val="center"/>
            </w:pPr>
            <w:r>
              <w:rPr>
                <w:sz w:val="24"/>
                <w:color w:val="392c69"/>
              </w:rPr>
              <w:t xml:space="preserve">от 14.12.2024 </w:t>
            </w:r>
            <w:r>
              <w:rPr>
                <w:sz w:val="24"/>
                <w:color w:val="392c69"/>
              </w:rPr>
              <w:t xml:space="preserve">N 1789</w:t>
            </w:r>
            <w:r>
              <w:rPr>
                <w:sz w:val="24"/>
                <w:color w:val="392c69"/>
              </w:rPr>
              <w:t xml:space="preserve">, от 27.10.2025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В настоящей форме используются понятия, установленные Федеральным </w:t>
      </w:r>
      <w:r>
        <w:rPr>
          <w:sz w:val="24"/>
        </w:rPr>
        <w:t xml:space="preserve">законом</w:t>
      </w:r>
      <w:r>
        <w:rPr>
          <w:sz w:val="24"/>
        </w:rPr>
        <w:t xml:space="preserve"> "О защите и поощрении капиталовложений в Российской Федерации" (далее - Федеральный закон), а также определения, установленные </w:t>
      </w:r>
      <w:hyperlink w:history="0" w:anchor="P51" w:tooltip="ПРАВИЛА">
        <w:r>
          <w:rPr>
            <w:sz w:val="24"/>
            <w:color w:val="0000ff"/>
          </w:rPr>
          <w:t xml:space="preserve">Правилами</w:t>
        </w:r>
      </w:hyperlink>
      <w:r>
        <w:rPr>
          <w:sz w:val="24"/>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Расчет объема возмещения затрат по итогам реализации отдельного этапа проекта и по итогам реализации проекта осуществляется аналогичным способом.</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2. Объем возмещаемых затрат на создание (строительство) либо реконструкцию и (или) модернизацию (далее - создание) объектов обеспечивающей инфраструктуры, необходимых для реализации проекта, в том числе на реконструкцию объектов обеспечивающей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и на уплату процентов по кредитам и займам, купонного дохода по облигационным займам, привлеченным для создания объектов обеспечивающей инфраструктуры, необходимых для реализации проекта, в том числе на реконструкцию объектов обеспечивающей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(далее - затраты на объекты обеспечивающей инфраструктуры), затрат на создание объектов сопутствующей инфраструктуры, необходимых для реализации проекта, в том числе на реконструкцию объектов сопутствующей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и на уплату процентов по кредитам и займам, купонного дохода по облигационным займам, привлеченным для создания объектов сопутствующей инфраструктуры, необходимых для реализации проекта, в том числе на реконструкцию объектов сопутствующей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(далее - затраты на объекты сопутствующей инфраструктуры), затрат на уплату процентов по кредитам и займам, купонного дохода по облигационным займам, привлеченным для реализации проекта в части создания основного объекта проекта (основных объектов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(далее - затраты на уплату процентов на инвестиционной стадии), а также затрат на демонтаж объектов, расположенных на территориях военных городков (в части жилищного строительства), при одновременном выполнении условий, предусмотренных </w:t>
      </w:r>
      <w:r>
        <w:rPr>
          <w:sz w:val="24"/>
        </w:rPr>
        <w:t xml:space="preserve">пунктом 5 части 1 статьи 15</w:t>
      </w:r>
      <w:r>
        <w:rPr>
          <w:sz w:val="24"/>
        </w:rPr>
        <w:t xml:space="preserve"> Федерального закона (далее - затраты на демонтаж), с учетом требований </w:t>
      </w:r>
      <w:r>
        <w:rPr>
          <w:sz w:val="24"/>
        </w:rPr>
        <w:t xml:space="preserve">части 4 статьи 15</w:t>
      </w:r>
      <w:r>
        <w:rPr>
          <w:sz w:val="24"/>
        </w:rPr>
        <w:t xml:space="preserve"> Федерального закона (далее - объем возмещаемых затрат) (C</w:t>
      </w:r>
      <w:r>
        <w:rPr>
          <w:sz w:val="24"/>
          <w:vertAlign w:val="subscript"/>
        </w:rPr>
        <w:t xml:space="preserve">х</w:t>
      </w:r>
      <w:r>
        <w:rPr>
          <w:sz w:val="24"/>
        </w:rPr>
        <w:t xml:space="preserve">) определяется по формуле:</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jc w:val="both"/>
      </w:pPr>
      <w:r>
        <w:rPr>
          <w:sz w:val="24"/>
        </w:rPr>
      </w:r>
    </w:p>
    <w:p>
      <w:pPr>
        <w:pStyle w:val="0"/>
        <w:jc w:val="center"/>
      </w:pPr>
      <w:r>
        <w:rPr>
          <w:position w:val="-10"/>
        </w:rPr>
        <w:drawing>
          <wp:inline distT="0" distB="0" distL="0" distR="0">
            <wp:extent cx="3737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73761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инф обесп</w:t>
      </w:r>
      <w:r>
        <w:rPr>
          <w:sz w:val="24"/>
        </w:rPr>
        <w:t xml:space="preserve"> - объем фактически понесенных затрат на объекты обеспечивающей инфраструктуры;</w:t>
      </w:r>
    </w:p>
    <w:p>
      <w:pPr>
        <w:pStyle w:val="0"/>
        <w:spacing w:before="240" w:line-rule="auto"/>
        <w:ind w:firstLine="540"/>
        <w:jc w:val="both"/>
      </w:pPr>
      <w:r>
        <w:rPr>
          <w:sz w:val="24"/>
        </w:rPr>
        <w:t xml:space="preserve">C</w:t>
      </w:r>
      <w:r>
        <w:rPr>
          <w:sz w:val="24"/>
          <w:vertAlign w:val="subscript"/>
        </w:rPr>
        <w:t xml:space="preserve">инф соп</w:t>
      </w:r>
      <w:r>
        <w:rPr>
          <w:sz w:val="24"/>
        </w:rPr>
        <w:t xml:space="preserve"> - объем фактически понесенных затрат на объекты сопутствующей инфраструктуры;</w:t>
      </w:r>
    </w:p>
    <w:p>
      <w:pPr>
        <w:pStyle w:val="0"/>
        <w:spacing w:before="240" w:line-rule="auto"/>
        <w:ind w:firstLine="540"/>
        <w:jc w:val="both"/>
      </w:pPr>
      <w:r>
        <w:rPr>
          <w:sz w:val="24"/>
        </w:rPr>
        <w:t xml:space="preserve">C</w:t>
      </w:r>
      <w:r>
        <w:rPr>
          <w:sz w:val="24"/>
          <w:vertAlign w:val="subscript"/>
        </w:rPr>
        <w:t xml:space="preserve">ис</w:t>
      </w:r>
      <w:r>
        <w:rPr>
          <w:sz w:val="24"/>
        </w:rPr>
        <w:t xml:space="preserve"> - объем фактически понесенных затрат на уплату процентов на инвестиционной стадии;</w:t>
      </w:r>
    </w:p>
    <w:p>
      <w:pPr>
        <w:pStyle w:val="0"/>
        <w:spacing w:before="240" w:line-rule="auto"/>
        <w:ind w:firstLine="540"/>
        <w:jc w:val="both"/>
      </w:pPr>
      <w:r>
        <w:rPr>
          <w:sz w:val="24"/>
        </w:rPr>
        <w:t xml:space="preserve">C</w:t>
      </w:r>
      <w:r>
        <w:rPr>
          <w:sz w:val="24"/>
          <w:vertAlign w:val="subscript"/>
        </w:rPr>
        <w:t xml:space="preserve">дем</w:t>
      </w:r>
      <w:r>
        <w:rPr>
          <w:sz w:val="24"/>
        </w:rPr>
        <w:t xml:space="preserve"> - объем фактически понесенных затрат на демонтаж.</w:t>
      </w:r>
    </w:p>
    <w:p>
      <w:pPr>
        <w:pStyle w:val="0"/>
        <w:jc w:val="both"/>
      </w:pPr>
      <w:r>
        <w:rPr>
          <w:sz w:val="24"/>
        </w:rPr>
        <w:t xml:space="preserve">(п. 2 в ред. </w:t>
      </w:r>
      <w:r>
        <w:rPr>
          <w:sz w:val="24"/>
        </w:rPr>
        <w:t xml:space="preserve">Постановления</w:t>
      </w:r>
      <w:r>
        <w:rPr>
          <w:sz w:val="24"/>
        </w:rPr>
        <w:t xml:space="preserve"> Правительства РФ от 14.12.2024 N 1789)</w:t>
      </w:r>
    </w:p>
    <w:bookmarkStart w:id="692" w:name="P692"/>
    <w:bookmarkEnd w:id="692"/>
    <w:p>
      <w:pPr>
        <w:pStyle w:val="0"/>
        <w:spacing w:before="240" w:line-rule="auto"/>
        <w:ind w:firstLine="540"/>
        <w:jc w:val="both"/>
      </w:pPr>
      <w:r>
        <w:rPr>
          <w:sz w:val="24"/>
        </w:rPr>
        <w:t xml:space="preserve">2(1). Объем фактически понесенных затрат на объекты обеспечивающей инфраструктуры (C</w:t>
      </w:r>
      <w:r>
        <w:rPr>
          <w:sz w:val="24"/>
          <w:vertAlign w:val="subscript"/>
        </w:rPr>
        <w:t xml:space="preserve">инф обесп</w:t>
      </w:r>
      <w:r>
        <w:rPr>
          <w:sz w:val="24"/>
        </w:rPr>
        <w:t xml:space="preserve">) определяется по формуле:</w:t>
      </w:r>
    </w:p>
    <w:p>
      <w:pPr>
        <w:pStyle w:val="0"/>
        <w:jc w:val="both"/>
      </w:pPr>
      <w:r>
        <w:rPr>
          <w:sz w:val="24"/>
        </w:rPr>
      </w:r>
    </w:p>
    <w:p>
      <w:pPr>
        <w:pStyle w:val="0"/>
        <w:jc w:val="center"/>
      </w:pPr>
      <w:r>
        <w:rPr>
          <w:position w:val="-32"/>
        </w:rPr>
        <w:drawing>
          <wp:inline distT="0" distB="0" distL="0" distR="0">
            <wp:extent cx="571500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обесп</w:t>
      </w:r>
      <w:r>
        <w:rPr>
          <w:sz w:val="24"/>
        </w:rPr>
        <w:t xml:space="preserve"> - количество объектов обеспечивающей инфраструктуры, в отношении которых осуществляется создание;</w:t>
      </w:r>
    </w:p>
    <w:p>
      <w:pPr>
        <w:pStyle w:val="0"/>
        <w:spacing w:before="240" w:line-rule="auto"/>
        <w:ind w:firstLine="540"/>
        <w:jc w:val="both"/>
      </w:pPr>
      <w:r>
        <w:rPr>
          <w:sz w:val="24"/>
        </w:rPr>
        <w:t xml:space="preserve">T</w:t>
      </w:r>
      <w:r>
        <w:rPr>
          <w:sz w:val="24"/>
          <w:vertAlign w:val="subscript"/>
        </w:rPr>
        <w:t xml:space="preserve">0 обесп</w:t>
      </w:r>
      <w:r>
        <w:rPr>
          <w:sz w:val="24"/>
        </w:rPr>
        <w:t xml:space="preserve"> - первый период (месяц и год), в котором фактически понесены затраты на создание объектов обеспечивающей инфраструктуры, но не ранее даты принятия решения организацией,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Т</w:t>
      </w:r>
      <w:r>
        <w:rPr>
          <w:sz w:val="24"/>
          <w:vertAlign w:val="subscript"/>
        </w:rPr>
        <w:t xml:space="preserve">i обесп</w:t>
      </w:r>
      <w:r>
        <w:rPr>
          <w:sz w:val="24"/>
        </w:rPr>
        <w:t xml:space="preserve"> - момент ввода в эксплуатацию объекта обеспечивающей инфраструктуры, если проектом предусмотрено создание этого объекта;</w:t>
      </w:r>
    </w:p>
    <w:p>
      <w:pPr>
        <w:pStyle w:val="0"/>
        <w:spacing w:before="240" w:line-rule="auto"/>
        <w:ind w:firstLine="540"/>
        <w:jc w:val="both"/>
      </w:pPr>
      <w:r>
        <w:rPr>
          <w:sz w:val="24"/>
        </w:rPr>
        <w:t xml:space="preserve">t</w:t>
      </w:r>
      <w:r>
        <w:rPr>
          <w:sz w:val="24"/>
          <w:vertAlign w:val="subscript"/>
        </w:rPr>
        <w:t xml:space="preserve">0 обесп</w:t>
      </w:r>
      <w:r>
        <w:rPr>
          <w:sz w:val="24"/>
        </w:rPr>
        <w:t xml:space="preserve"> - дата начала финансирования по кредитам и займам, облигационным займам, привлеченным для создания объекта обеспечивающей инфраструктуры, но не ранее даты принятия решения организацией,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S1 - сумма фактически понесенных затрат на проведение всех необходимых строительных, монтажных, пусконаладочных работ в целях создания p-го объекта обеспечивающей инфраструктуры, рассчитанная с учетом требований </w:t>
      </w:r>
      <w:hyperlink w:history="0" w:anchor="P263" w:tooltip="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возмещения зат...">
        <w:r>
          <w:rPr>
            <w:sz w:val="24"/>
            <w:color w:val="0000ff"/>
          </w:rPr>
          <w:t xml:space="preserve">абзаца одиннадцатого пункта 22</w:t>
        </w:r>
      </w:hyperlink>
      <w:r>
        <w:rPr>
          <w:sz w:val="24"/>
        </w:rPr>
        <w:t xml:space="preserve"> Правил;</w:t>
      </w:r>
    </w:p>
    <w:p>
      <w:pPr>
        <w:pStyle w:val="0"/>
        <w:spacing w:before="240" w:line-rule="auto"/>
        <w:ind w:firstLine="540"/>
        <w:jc w:val="both"/>
      </w:pPr>
      <w:r>
        <w:rPr>
          <w:sz w:val="24"/>
        </w:rPr>
        <w:t xml:space="preserve">S2 - сумма всех фактически понесенных затрат в соответствии с договорами подключения (технологического присоединения (примыкания) объектов обеспечивающей инфраструктуры к инженерным и транспортным сетям, рассчитанная с учетом требований </w:t>
      </w:r>
      <w:hyperlink w:history="0" w:anchor="P266" w:tooltip="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
        <w:r>
          <w:rPr>
            <w:sz w:val="24"/>
            <w:color w:val="0000ff"/>
          </w:rPr>
          <w:t xml:space="preserve">абзацев четырнадцатого</w:t>
        </w:r>
      </w:hyperlink>
      <w:r>
        <w:rPr>
          <w:sz w:val="24"/>
        </w:rPr>
        <w:t xml:space="preserve"> и </w:t>
      </w:r>
      <w:hyperlink w:history="0" w:anchor="P267" w:tooltip="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возмещения затрат, указанных в абзаце втором пункта 4 настоящих Правил;">
        <w:r>
          <w:rPr>
            <w:sz w:val="24"/>
            <w:color w:val="0000ff"/>
          </w:rPr>
          <w:t xml:space="preserve">пятнадцатого пункта 22</w:t>
        </w:r>
      </w:hyperlink>
      <w:r>
        <w:rPr>
          <w:sz w:val="24"/>
        </w:rPr>
        <w:t xml:space="preserve"> Правил;</w:t>
      </w:r>
    </w:p>
    <w:p>
      <w:pPr>
        <w:pStyle w:val="0"/>
        <w:spacing w:before="240" w:line-rule="auto"/>
        <w:ind w:firstLine="540"/>
        <w:jc w:val="both"/>
      </w:pPr>
      <w:r>
        <w:rPr>
          <w:sz w:val="24"/>
        </w:rPr>
        <w:t xml:space="preserve">F1 - сумма всех фактически понесенных затрат на уплату процентов по кредитам и займам, привлеченным для создания p-го объекта обеспечивающей инфраструктуры в размере, рассчитанном с учетом требований </w:t>
      </w:r>
      <w:hyperlink w:history="0" w:anchor="P264" w:tooltip="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абзацах третьем и четвертом пункта 4 настоящих Правил;">
        <w:r>
          <w:rPr>
            <w:sz w:val="24"/>
            <w:color w:val="0000ff"/>
          </w:rPr>
          <w:t xml:space="preserve">абзаца двенадцатого пункта 22</w:t>
        </w:r>
      </w:hyperlink>
      <w:r>
        <w:rPr>
          <w:sz w:val="24"/>
        </w:rPr>
        <w:t xml:space="preserve"> Правил;</w:t>
      </w:r>
    </w:p>
    <w:p>
      <w:pPr>
        <w:pStyle w:val="0"/>
        <w:spacing w:before="240" w:line-rule="auto"/>
        <w:ind w:firstLine="540"/>
        <w:jc w:val="both"/>
      </w:pPr>
      <w:r>
        <w:rPr>
          <w:sz w:val="24"/>
        </w:rPr>
        <w:t xml:space="preserve">F2 - сумма всех фактически понесенных затрат на уплату купонного дохода по облигационным займам, привлеченным для создания p-го объекта обеспечивающей инфраструктуры в размере, рассчитанном с учетом требований </w:t>
      </w:r>
      <w:hyperlink w:history="0" w:anchor="P265" w:tooltip="70 процентов базового индикатора, определяемого в соответствии с постановлением Правительства Российской Федерации от 20 июля 2016 г. N 702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quot;...">
        <w:r>
          <w:rPr>
            <w:sz w:val="24"/>
            <w:color w:val="0000ff"/>
          </w:rPr>
          <w:t xml:space="preserve">абзаца тринадцатого пункта 22</w:t>
        </w:r>
      </w:hyperlink>
      <w:r>
        <w:rPr>
          <w:sz w:val="24"/>
        </w:rPr>
        <w:t xml:space="preserve"> Правил.</w:t>
      </w:r>
    </w:p>
    <w:p>
      <w:pPr>
        <w:pStyle w:val="0"/>
        <w:jc w:val="both"/>
      </w:pPr>
      <w:r>
        <w:rPr>
          <w:sz w:val="24"/>
        </w:rPr>
        <w:t xml:space="preserve">(п. 2(1) введен </w:t>
      </w:r>
      <w:r>
        <w:rPr>
          <w:sz w:val="24"/>
        </w:rPr>
        <w:t xml:space="preserve">Постановлением</w:t>
      </w:r>
      <w:r>
        <w:rPr>
          <w:sz w:val="24"/>
        </w:rPr>
        <w:t xml:space="preserve"> Правительства РФ от 14.12.2024 N 1789)</w:t>
      </w:r>
    </w:p>
    <w:bookmarkStart w:id="708" w:name="P708"/>
    <w:bookmarkEnd w:id="708"/>
    <w:p>
      <w:pPr>
        <w:pStyle w:val="0"/>
        <w:spacing w:before="240" w:line-rule="auto"/>
        <w:ind w:firstLine="540"/>
        <w:jc w:val="both"/>
      </w:pPr>
      <w:r>
        <w:rPr>
          <w:sz w:val="24"/>
        </w:rPr>
        <w:t xml:space="preserve">2(2). Объем фактически понесенных затрат на объекты сопутствующей инфраструктуры (C</w:t>
      </w:r>
      <w:r>
        <w:rPr>
          <w:sz w:val="24"/>
          <w:vertAlign w:val="subscript"/>
        </w:rPr>
        <w:t xml:space="preserve">инф соп</w:t>
      </w:r>
      <w:r>
        <w:rPr>
          <w:sz w:val="24"/>
        </w:rPr>
        <w:t xml:space="preserve">) определяется по формуле:</w:t>
      </w:r>
    </w:p>
    <w:p>
      <w:pPr>
        <w:pStyle w:val="0"/>
        <w:jc w:val="both"/>
      </w:pPr>
      <w:r>
        <w:rPr>
          <w:sz w:val="24"/>
        </w:rPr>
      </w:r>
    </w:p>
    <w:p>
      <w:pPr>
        <w:pStyle w:val="0"/>
        <w:jc w:val="center"/>
      </w:pPr>
      <w:r>
        <w:rPr>
          <w:position w:val="-32"/>
        </w:rPr>
        <w:drawing>
          <wp:inline distT="0" distB="0" distL="0" distR="0">
            <wp:extent cx="516636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516636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соп</w:t>
      </w:r>
      <w:r>
        <w:rPr>
          <w:sz w:val="24"/>
        </w:rPr>
        <w:t xml:space="preserve"> - количество объектов сопутствующей инфраструктуры, в отношении которых осуществляется создание;</w:t>
      </w:r>
    </w:p>
    <w:p>
      <w:pPr>
        <w:pStyle w:val="0"/>
        <w:spacing w:before="240" w:line-rule="auto"/>
        <w:ind w:firstLine="540"/>
        <w:jc w:val="both"/>
      </w:pPr>
      <w:r>
        <w:rPr>
          <w:sz w:val="24"/>
        </w:rPr>
        <w:t xml:space="preserve">T</w:t>
      </w:r>
      <w:r>
        <w:rPr>
          <w:sz w:val="24"/>
          <w:vertAlign w:val="subscript"/>
        </w:rPr>
        <w:t xml:space="preserve">0 соп</w:t>
      </w:r>
      <w:r>
        <w:rPr>
          <w:sz w:val="24"/>
        </w:rPr>
        <w:t xml:space="preserve"> - первый период (месяц и год), в котором фактически понесены затраты на создание объектов сопутствующей инфраструктуры, но не ранее даты принятия решения организацией,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T</w:t>
      </w:r>
      <w:r>
        <w:rPr>
          <w:sz w:val="24"/>
          <w:vertAlign w:val="subscript"/>
        </w:rPr>
        <w:t xml:space="preserve">i соп</w:t>
      </w:r>
      <w:r>
        <w:rPr>
          <w:sz w:val="24"/>
        </w:rPr>
        <w:t xml:space="preserve"> - момент ввода в эксплуатацию объекта сопутствующей инфраструктуры, если проектом предусмотрено создание этого объекта;</w:t>
      </w:r>
    </w:p>
    <w:p>
      <w:pPr>
        <w:pStyle w:val="0"/>
        <w:spacing w:before="240" w:line-rule="auto"/>
        <w:ind w:firstLine="540"/>
        <w:jc w:val="both"/>
      </w:pPr>
      <w:r>
        <w:rPr>
          <w:sz w:val="24"/>
        </w:rPr>
        <w:t xml:space="preserve">t</w:t>
      </w:r>
      <w:r>
        <w:rPr>
          <w:sz w:val="24"/>
          <w:vertAlign w:val="subscript"/>
        </w:rPr>
        <w:t xml:space="preserve">0 соп</w:t>
      </w:r>
      <w:r>
        <w:rPr>
          <w:sz w:val="24"/>
        </w:rPr>
        <w:t xml:space="preserve"> - дата начала финансирования по кредитам и займам, облигационным займам, привлеченным для создания объекта сопутствующей инфраструктуры, но не ранее даты принятия решения организацией,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решения организацией, реализующей проект,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K1 - сумма фактически понесенных затрат на проведение всех необходимых строительных, монтажных, пусконаладочных работ в целях создания p-го объекта сопутствующей инфраструктуры, рассчитанная с учетом требований </w:t>
      </w:r>
      <w:hyperlink w:history="0" w:anchor="P263" w:tooltip="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возмещения зат...">
        <w:r>
          <w:rPr>
            <w:sz w:val="24"/>
            <w:color w:val="0000ff"/>
          </w:rPr>
          <w:t xml:space="preserve">абзаца одиннадцатого пункта 22</w:t>
        </w:r>
      </w:hyperlink>
      <w:r>
        <w:rPr>
          <w:sz w:val="24"/>
        </w:rPr>
        <w:t xml:space="preserve"> Правил;</w:t>
      </w:r>
    </w:p>
    <w:p>
      <w:pPr>
        <w:pStyle w:val="0"/>
        <w:spacing w:before="240" w:line-rule="auto"/>
        <w:ind w:firstLine="540"/>
        <w:jc w:val="both"/>
      </w:pPr>
      <w:r>
        <w:rPr>
          <w:sz w:val="24"/>
        </w:rPr>
        <w:t xml:space="preserve">K2 - сумма всех фактически понесенных затрат в соответствии с договорами подключения (технологического присоединения (примыкания) объектов сопутствующей инфраструктуры к инженерным и транспортным сетям, рассчитанная с учетом требований </w:t>
      </w:r>
      <w:hyperlink w:history="0" w:anchor="P266" w:tooltip="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
        <w:r>
          <w:rPr>
            <w:sz w:val="24"/>
            <w:color w:val="0000ff"/>
          </w:rPr>
          <w:t xml:space="preserve">абзацев четырнадцатого</w:t>
        </w:r>
      </w:hyperlink>
      <w:r>
        <w:rPr>
          <w:sz w:val="24"/>
        </w:rPr>
        <w:t xml:space="preserve"> и </w:t>
      </w:r>
      <w:hyperlink w:history="0" w:anchor="P267" w:tooltip="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возмещения затрат, указанных в абзаце втором пункта 4 настоящих Правил;">
        <w:r>
          <w:rPr>
            <w:sz w:val="24"/>
            <w:color w:val="0000ff"/>
          </w:rPr>
          <w:t xml:space="preserve">пятнадцатого пункта 22</w:t>
        </w:r>
      </w:hyperlink>
      <w:r>
        <w:rPr>
          <w:sz w:val="24"/>
        </w:rPr>
        <w:t xml:space="preserve"> Правил;</w:t>
      </w:r>
    </w:p>
    <w:p>
      <w:pPr>
        <w:pStyle w:val="0"/>
        <w:spacing w:before="240" w:line-rule="auto"/>
        <w:ind w:firstLine="540"/>
        <w:jc w:val="both"/>
      </w:pPr>
      <w:r>
        <w:rPr>
          <w:sz w:val="24"/>
        </w:rPr>
        <w:t xml:space="preserve">X1 - сумма всех фактически понесенных затрат на уплату процентов по кредитам и займам, привлеченным для создания p-го объекта сопутствующей инфраструктуры в размере, рассчитанном с учетом требований </w:t>
      </w:r>
      <w:hyperlink w:history="0" w:anchor="P264" w:tooltip="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абзацах третьем и четвертом пункта 4 настоящих Правил;">
        <w:r>
          <w:rPr>
            <w:sz w:val="24"/>
            <w:color w:val="0000ff"/>
          </w:rPr>
          <w:t xml:space="preserve">абзаца двенадцатого пункта 22</w:t>
        </w:r>
      </w:hyperlink>
      <w:r>
        <w:rPr>
          <w:sz w:val="24"/>
        </w:rPr>
        <w:t xml:space="preserve"> Правил;</w:t>
      </w:r>
    </w:p>
    <w:p>
      <w:pPr>
        <w:pStyle w:val="0"/>
        <w:spacing w:before="240" w:line-rule="auto"/>
        <w:ind w:firstLine="540"/>
        <w:jc w:val="both"/>
      </w:pPr>
      <w:r>
        <w:rPr>
          <w:sz w:val="24"/>
        </w:rPr>
        <w:t xml:space="preserve">X2 - сумма всех фактически понесенных затрат на уплату купонного дохода по облигационным займам, привлеченным для создания p-го объекта сопутствующей инфраструктуры в размере, рассчитанном с учетом требований </w:t>
      </w:r>
      <w:hyperlink w:history="0" w:anchor="P265" w:tooltip="70 процентов базового индикатора, определяемого в соответствии с постановлением Правительства Российской Федерации от 20 июля 2016 г. N 702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quot;...">
        <w:r>
          <w:rPr>
            <w:sz w:val="24"/>
            <w:color w:val="0000ff"/>
          </w:rPr>
          <w:t xml:space="preserve">абзаца тринадцатого пункта 22</w:t>
        </w:r>
      </w:hyperlink>
      <w:r>
        <w:rPr>
          <w:sz w:val="24"/>
        </w:rPr>
        <w:t xml:space="preserve"> Правил.</w:t>
      </w:r>
    </w:p>
    <w:p>
      <w:pPr>
        <w:pStyle w:val="0"/>
        <w:jc w:val="both"/>
      </w:pPr>
      <w:r>
        <w:rPr>
          <w:sz w:val="24"/>
        </w:rPr>
        <w:t xml:space="preserve">(п. 2(2) введен </w:t>
      </w:r>
      <w:r>
        <w:rPr>
          <w:sz w:val="24"/>
        </w:rPr>
        <w:t xml:space="preserve">Постановлением</w:t>
      </w:r>
      <w:r>
        <w:rPr>
          <w:sz w:val="24"/>
        </w:rPr>
        <w:t xml:space="preserve"> Правительства РФ от 14.12.2024 N 1789)</w:t>
      </w:r>
    </w:p>
    <w:bookmarkStart w:id="724" w:name="P724"/>
    <w:bookmarkEnd w:id="724"/>
    <w:p>
      <w:pPr>
        <w:pStyle w:val="0"/>
        <w:spacing w:before="240" w:line-rule="auto"/>
        <w:ind w:firstLine="540"/>
        <w:jc w:val="both"/>
      </w:pPr>
      <w:r>
        <w:rPr>
          <w:sz w:val="24"/>
        </w:rPr>
        <w:t xml:space="preserve">2(3). Объем фактически понесенных затрат на уплату процентов на инвестиционной стадии (C</w:t>
      </w:r>
      <w:r>
        <w:rPr>
          <w:sz w:val="24"/>
          <w:vertAlign w:val="subscript"/>
        </w:rPr>
        <w:t xml:space="preserve">ис</w:t>
      </w:r>
      <w:r>
        <w:rPr>
          <w:sz w:val="24"/>
        </w:rPr>
        <w:t xml:space="preserve">) определяется по формуле:</w:t>
      </w:r>
    </w:p>
    <w:p>
      <w:pPr>
        <w:pStyle w:val="0"/>
        <w:jc w:val="both"/>
      </w:pPr>
      <w:r>
        <w:rPr>
          <w:sz w:val="24"/>
        </w:rPr>
      </w:r>
    </w:p>
    <w:p>
      <w:pPr>
        <w:pStyle w:val="0"/>
        <w:jc w:val="center"/>
      </w:pPr>
      <w:r>
        <w:rPr>
          <w:position w:val="-32"/>
        </w:rPr>
        <w:drawing>
          <wp:inline distT="0" distB="0" distL="0" distR="0">
            <wp:extent cx="24345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3459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ис</w:t>
      </w:r>
      <w:r>
        <w:rPr>
          <w:sz w:val="24"/>
        </w:rPr>
        <w:t xml:space="preserve"> - количество основных объектов проекта;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t</w:t>
      </w:r>
      <w:r>
        <w:rPr>
          <w:sz w:val="24"/>
          <w:vertAlign w:val="subscript"/>
        </w:rPr>
        <w:t xml:space="preserve">0 ис</w:t>
      </w:r>
      <w:r>
        <w:rPr>
          <w:sz w:val="24"/>
        </w:rPr>
        <w:t xml:space="preserve"> - дата начала финансирования по кредитам и займам, облигационным займам, привлеченным для реализации проекта в части создания основного объекта проекта (основных объектов проекта), но не ранее даты начала инвестиционной стадии, определяемой в соответствии с </w:t>
      </w:r>
      <w:r>
        <w:rPr>
          <w:sz w:val="24"/>
        </w:rPr>
        <w:t xml:space="preserve">пунктом 2.1 части 1 статьи 2</w:t>
      </w:r>
      <w:r>
        <w:rPr>
          <w:sz w:val="24"/>
        </w:rPr>
        <w:t xml:space="preserve"> Федерального закона, или даты принятия организацией, реализующей проект, решения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решения об осуществлении проекта, в том числе об определении объема капитальных вложений (расходов), необходимых для его реализации (используется более поздняя дата);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T</w:t>
      </w:r>
      <w:r>
        <w:rPr>
          <w:sz w:val="24"/>
          <w:vertAlign w:val="subscript"/>
        </w:rPr>
        <w:t xml:space="preserve">i ис -</w:t>
      </w:r>
      <w:r>
        <w:rPr>
          <w:sz w:val="24"/>
        </w:rPr>
        <w:t xml:space="preserve"> дата окончания инвестиционной стадии, определяемая в соответствии с </w:t>
      </w:r>
      <w:r>
        <w:rPr>
          <w:sz w:val="24"/>
        </w:rPr>
        <w:t xml:space="preserve">пунктом 2.1 части 1 статьи 2</w:t>
      </w:r>
      <w:r>
        <w:rPr>
          <w:sz w:val="24"/>
        </w:rPr>
        <w:t xml:space="preserve"> Федерального закона;</w:t>
      </w:r>
    </w:p>
    <w:p>
      <w:pPr>
        <w:pStyle w:val="0"/>
        <w:spacing w:before="240" w:line-rule="auto"/>
        <w:ind w:firstLine="540"/>
        <w:jc w:val="both"/>
      </w:pPr>
      <w:r>
        <w:rPr>
          <w:sz w:val="24"/>
        </w:rPr>
        <w:t xml:space="preserve">H1 - сумма всех фактически понесенных затрат на уплату процентов по кредитам и займам, привлеченным для создания p-го основного объекта проекта в размере, рассчитанном с учетом требований </w:t>
      </w:r>
      <w:hyperlink w:history="0" w:anchor="P264" w:tooltip="двух третьих ключевой ставки Центрального банка Российской Федерации, действующей на дату уплаты процентов по кредиту и займу, в случае возмещения затрат, указанных в абзацах третьем и четвертом пункта 4 настоящих Правил;">
        <w:r>
          <w:rPr>
            <w:sz w:val="24"/>
            <w:color w:val="0000ff"/>
          </w:rPr>
          <w:t xml:space="preserve">абзаца двенадцатого пункта 22</w:t>
        </w:r>
      </w:hyperlink>
      <w:r>
        <w:rPr>
          <w:sz w:val="24"/>
        </w:rPr>
        <w:t xml:space="preserve"> Правил;</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H2 - сумма всех фактически понесенных затрат на уплату купонного дохода по облигационным займам, привлеченным для создания p-го основного объекта проекта в размере, рассчитанном с учетом требований </w:t>
      </w:r>
      <w:hyperlink w:history="0" w:anchor="P265" w:tooltip="70 процентов базового индикатора, определяемого в соответствии с постановлением Правительства Российской Федерации от 20 июля 2016 г. N 702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quot;...">
        <w:r>
          <w:rPr>
            <w:sz w:val="24"/>
            <w:color w:val="0000ff"/>
          </w:rPr>
          <w:t xml:space="preserve">абзаца тринадцатого пункта 22</w:t>
        </w:r>
      </w:hyperlink>
      <w:r>
        <w:rPr>
          <w:sz w:val="24"/>
        </w:rPr>
        <w:t xml:space="preserve"> Правил.</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jc w:val="both"/>
      </w:pPr>
      <w:r>
        <w:rPr>
          <w:sz w:val="24"/>
        </w:rPr>
        <w:t xml:space="preserve">(п. 2(3) введен </w:t>
      </w:r>
      <w:r>
        <w:rPr>
          <w:sz w:val="24"/>
        </w:rPr>
        <w:t xml:space="preserve">Постановлением</w:t>
      </w:r>
      <w:r>
        <w:rPr>
          <w:sz w:val="24"/>
        </w:rPr>
        <w:t xml:space="preserve"> Правительства РФ от 14.12.2024 N 1789)</w:t>
      </w:r>
    </w:p>
    <w:bookmarkStart w:id="739" w:name="P739"/>
    <w:bookmarkEnd w:id="739"/>
    <w:p>
      <w:pPr>
        <w:pStyle w:val="0"/>
        <w:spacing w:before="240" w:line-rule="auto"/>
        <w:ind w:firstLine="540"/>
        <w:jc w:val="both"/>
      </w:pPr>
      <w:r>
        <w:rPr>
          <w:sz w:val="24"/>
        </w:rPr>
        <w:t xml:space="preserve">2(4). Объем фактически понесенных затрат на демонтаж (C</w:t>
      </w:r>
      <w:r>
        <w:rPr>
          <w:sz w:val="24"/>
          <w:vertAlign w:val="subscript"/>
        </w:rPr>
        <w:t xml:space="preserve">дем</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1430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дем</w:t>
      </w:r>
      <w:r>
        <w:rPr>
          <w:sz w:val="24"/>
        </w:rPr>
        <w:t xml:space="preserve"> - количество объектов, в отношении которых осуществлен демонтаж;</w:t>
      </w:r>
    </w:p>
    <w:p>
      <w:pPr>
        <w:pStyle w:val="0"/>
        <w:spacing w:before="240" w:line-rule="auto"/>
        <w:ind w:firstLine="540"/>
        <w:jc w:val="both"/>
      </w:pPr>
      <w:r>
        <w:rPr>
          <w:sz w:val="24"/>
        </w:rPr>
        <w:t xml:space="preserve">D1 - сумма фактически понесенных затрат на проведение всех необходимых работ в целях демонтажа p-го объекта, расположенного на территориях военных городков (в части жилищного строительства) (включая работы, связанные с подготовкой постройки к сносу, демонтаж конструкций, снос сооружений, погрузку и выгрузку строительного мусора, аренду необходимого оборудования), но не ранее даты принятия решения организацией, реализующей проект, об утверждении бюджета на капитальные вложения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или даты принятия организацией, реализующей проект, решения об осуществлении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jc w:val="both"/>
      </w:pPr>
      <w:r>
        <w:rPr>
          <w:sz w:val="24"/>
        </w:rPr>
        <w:t xml:space="preserve">(п. 2(4)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2(5). Объем возмещения затрат в i-м периоде (L</w:t>
      </w:r>
      <w:r>
        <w:rPr>
          <w:sz w:val="24"/>
          <w:vertAlign w:val="subscript"/>
        </w:rPr>
        <w:t xml:space="preserve">j</w:t>
      </w:r>
      <w:r>
        <w:rPr>
          <w:sz w:val="24"/>
        </w:rPr>
        <w:t xml:space="preserve">) определяется по формуле:</w:t>
      </w:r>
    </w:p>
    <w:p>
      <w:pPr>
        <w:pStyle w:val="0"/>
        <w:jc w:val="both"/>
      </w:pPr>
      <w:r>
        <w:rPr>
          <w:sz w:val="24"/>
        </w:rPr>
      </w:r>
    </w:p>
    <w:p>
      <w:pPr>
        <w:pStyle w:val="0"/>
        <w:jc w:val="center"/>
      </w:pPr>
      <w:r>
        <w:rPr>
          <w:sz w:val="24"/>
        </w:rPr>
        <w:t xml:space="preserve">L</w:t>
      </w:r>
      <w:r>
        <w:rPr>
          <w:sz w:val="24"/>
          <w:vertAlign w:val="subscript"/>
        </w:rPr>
        <w:t xml:space="preserve">i</w:t>
      </w:r>
      <w:r>
        <w:rPr>
          <w:sz w:val="24"/>
        </w:rPr>
        <w:t xml:space="preserve"> = C</w:t>
      </w:r>
      <w:r>
        <w:rPr>
          <w:sz w:val="24"/>
          <w:vertAlign w:val="subscript"/>
        </w:rPr>
        <w:t xml:space="preserve">x</w:t>
      </w:r>
      <w:r>
        <w:rPr>
          <w:sz w:val="24"/>
        </w:rPr>
        <w:t xml:space="preserve"> - R - V,</w:t>
      </w:r>
    </w:p>
    <w:p>
      <w:pPr>
        <w:pStyle w:val="0"/>
        <w:jc w:val="center"/>
      </w:pPr>
      <w:r>
        <w:rPr>
          <w:sz w:val="24"/>
        </w:rPr>
      </w:r>
    </w:p>
    <w:p>
      <w:pPr>
        <w:pStyle w:val="0"/>
        <w:ind w:firstLine="540"/>
        <w:jc w:val="both"/>
      </w:pPr>
      <w:r>
        <w:rPr>
          <w:position w:val="-9"/>
        </w:rPr>
        <w:drawing>
          <wp:inline distT="0" distB="0" distL="0" distR="0">
            <wp:extent cx="15087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274320"/>
                    </a:xfrm>
                    <a:prstGeom prst="rect">
                      <a:avLst/>
                    </a:prstGeom>
                    <a:noFill/>
                    <a:ln>
                      <a:noFill/>
                    </a:ln>
                  </pic:spPr>
                </pic:pic>
              </a:graphicData>
            </a:graphic>
          </wp:inline>
        </w:drawing>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период (календарный год);</w:t>
      </w:r>
    </w:p>
    <w:p>
      <w:pPr>
        <w:pStyle w:val="0"/>
        <w:spacing w:before="240" w:line-rule="auto"/>
        <w:ind w:firstLine="540"/>
        <w:jc w:val="both"/>
      </w:pPr>
      <w:r>
        <w:rPr>
          <w:sz w:val="24"/>
        </w:rPr>
        <w:t xml:space="preserve">R - размер ранее возмещенных организации, реализующей проект, затрат, указанных в </w:t>
      </w:r>
      <w:r>
        <w:rPr>
          <w:sz w:val="24"/>
        </w:rPr>
        <w:t xml:space="preserve">части 1 статьи 15</w:t>
      </w:r>
      <w:r>
        <w:rPr>
          <w:sz w:val="24"/>
        </w:rPr>
        <w:t xml:space="preserve"> Федерального закона, в форме субсидии в соответствии с бюджетным законодательством Российской Федерации и (или) в иной форме, предусмотренной законодательством Российской Федерации о налогах и сборах, с начала возмещения затрат до i-го периода;</w:t>
      </w:r>
    </w:p>
    <w:p>
      <w:pPr>
        <w:pStyle w:val="0"/>
        <w:spacing w:before="240" w:line-rule="auto"/>
        <w:ind w:firstLine="540"/>
        <w:jc w:val="both"/>
      </w:pPr>
      <w:r>
        <w:rPr>
          <w:sz w:val="24"/>
        </w:rPr>
        <w:t xml:space="preserve">V - размер предоставленных мер прямой государственной поддержки в отношении проекта, по которому предполагается предоставление меры государственной поддержки, предусмотренной </w:t>
      </w:r>
      <w:r>
        <w:rPr>
          <w:sz w:val="24"/>
        </w:rPr>
        <w:t xml:space="preserve">частью 1 статьи 15</w:t>
      </w:r>
      <w:r>
        <w:rPr>
          <w:sz w:val="24"/>
        </w:rPr>
        <w:t xml:space="preserve"> Федерального закона, до i-го периода;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U - объем реального ущерба, указанного в </w:t>
      </w:r>
      <w:r>
        <w:rPr>
          <w:sz w:val="24"/>
        </w:rPr>
        <w:t xml:space="preserve">части 3 статьи 12</w:t>
      </w:r>
      <w:r>
        <w:rPr>
          <w:sz w:val="24"/>
        </w:rPr>
        <w:t xml:space="preserve"> Федерального закона;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N - размер обязательных платежей, указанных в </w:t>
      </w:r>
      <w:r>
        <w:rPr>
          <w:sz w:val="24"/>
        </w:rPr>
        <w:t xml:space="preserve">части 5 статьи 15</w:t>
      </w:r>
      <w:r>
        <w:rPr>
          <w:sz w:val="24"/>
        </w:rPr>
        <w:t xml:space="preserve"> Федерального закона, исчисленных организацией, реализующей проект, для уплаты в соответствующий бюджет публично-правового образования, являющегося стороной соглашения о защите и поощрении капиталовложений, в связи с реализацией инвестиционного проекта.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jc w:val="both"/>
      </w:pPr>
      <w:r>
        <w:rPr>
          <w:sz w:val="24"/>
        </w:rPr>
        <w:t xml:space="preserve">(п. 2(5) введен </w:t>
      </w:r>
      <w:r>
        <w:rPr>
          <w:sz w:val="24"/>
        </w:rPr>
        <w:t xml:space="preserve">Постановлением</w:t>
      </w:r>
      <w:r>
        <w:rPr>
          <w:sz w:val="24"/>
        </w:rPr>
        <w:t xml:space="preserve"> Правительства РФ от 14.12.2024 N 1789)</w:t>
      </w:r>
    </w:p>
    <w:p>
      <w:pPr>
        <w:pStyle w:val="0"/>
        <w:spacing w:before="240" w:line-rule="auto"/>
        <w:ind w:firstLine="540"/>
        <w:jc w:val="both"/>
      </w:pPr>
      <w:r>
        <w:rPr>
          <w:sz w:val="24"/>
        </w:rPr>
        <w:t xml:space="preserve">3 - 7. Утратили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8. Расчет объема возмещения затрат, указанных в </w:t>
      </w:r>
      <w:r>
        <w:rPr>
          <w:sz w:val="24"/>
        </w:rPr>
        <w:t xml:space="preserve">части 1 статьи 15</w:t>
      </w:r>
      <w:r>
        <w:rPr>
          <w:sz w:val="24"/>
        </w:rPr>
        <w:t xml:space="preserve"> Федерального закона, представляется организацией, реализующей проект, согласно </w:t>
      </w:r>
      <w:hyperlink w:history="0" w:anchor="P787" w:tooltip="РАСЧЕТ">
        <w:r>
          <w:rPr>
            <w:sz w:val="24"/>
            <w:color w:val="0000ff"/>
          </w:rPr>
          <w:t xml:space="preserve">приложению</w:t>
        </w:r>
      </w:hyperlink>
      <w:r>
        <w:rPr>
          <w:sz w:val="24"/>
        </w:rPr>
        <w:t xml:space="preserve">.</w:t>
      </w:r>
    </w:p>
    <w:p>
      <w:pPr>
        <w:pStyle w:val="0"/>
        <w:jc w:val="both"/>
      </w:pPr>
      <w:r>
        <w:rPr>
          <w:sz w:val="24"/>
        </w:rPr>
        <w:t xml:space="preserve">(п. 8 введен </w:t>
      </w:r>
      <w:r>
        <w:rPr>
          <w:sz w:val="24"/>
        </w:rPr>
        <w:t xml:space="preserve">Постановлением</w:t>
      </w:r>
      <w:r>
        <w:rPr>
          <w:sz w:val="24"/>
        </w:rPr>
        <w:t xml:space="preserve"> Правительства РФ от 14.12.2024 N 1789)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форме расчета объема возмещения</w:t>
      </w:r>
    </w:p>
    <w:p>
      <w:pPr>
        <w:pStyle w:val="0"/>
        <w:jc w:val="right"/>
      </w:pPr>
      <w:r>
        <w:rPr>
          <w:sz w:val="24"/>
        </w:rPr>
        <w:t xml:space="preserve">затрат, указанных в части 1</w:t>
      </w:r>
    </w:p>
    <w:p>
      <w:pPr>
        <w:pStyle w:val="0"/>
        <w:jc w:val="right"/>
      </w:pPr>
      <w:r>
        <w:rPr>
          <w:sz w:val="24"/>
        </w:rPr>
        <w:t xml:space="preserve">статьи 15 Федерального закона</w:t>
      </w:r>
    </w:p>
    <w:p>
      <w:pPr>
        <w:pStyle w:val="0"/>
        <w:jc w:val="right"/>
      </w:pPr>
      <w:r>
        <w:rPr>
          <w:sz w:val="24"/>
        </w:rPr>
        <w:t xml:space="preserve">"О защите и поощрении капиталовложений</w:t>
      </w:r>
    </w:p>
    <w:p>
      <w:pPr>
        <w:pStyle w:val="0"/>
        <w:jc w:val="right"/>
      </w:pPr>
      <w:r>
        <w:rPr>
          <w:sz w:val="24"/>
        </w:rPr>
        <w:t xml:space="preserve">в Российской Федерации", понесенных</w:t>
      </w:r>
    </w:p>
    <w:p>
      <w:pPr>
        <w:pStyle w:val="0"/>
        <w:jc w:val="right"/>
      </w:pPr>
      <w:r>
        <w:rPr>
          <w:sz w:val="24"/>
        </w:rPr>
        <w:t xml:space="preserve">организацией, реализующей проект,</w:t>
      </w:r>
    </w:p>
    <w:p>
      <w:pPr>
        <w:pStyle w:val="0"/>
        <w:jc w:val="right"/>
      </w:pPr>
      <w:r>
        <w:rPr>
          <w:sz w:val="24"/>
        </w:rPr>
        <w:t xml:space="preserve">в рамках осуществления инвестиционного</w:t>
      </w:r>
    </w:p>
    <w:p>
      <w:pPr>
        <w:pStyle w:val="0"/>
        <w:jc w:val="right"/>
      </w:pPr>
      <w:r>
        <w:rPr>
          <w:sz w:val="24"/>
        </w:rPr>
        <w:t xml:space="preserve">проекта, в отношении которого</w:t>
      </w:r>
    </w:p>
    <w:p>
      <w:pPr>
        <w:pStyle w:val="0"/>
        <w:jc w:val="right"/>
      </w:pPr>
      <w:r>
        <w:rPr>
          <w:sz w:val="24"/>
        </w:rPr>
        <w:t xml:space="preserve">заключено соглашение о защите</w:t>
      </w:r>
    </w:p>
    <w:p>
      <w:pPr>
        <w:pStyle w:val="0"/>
        <w:jc w:val="right"/>
      </w:pPr>
      <w:r>
        <w:rPr>
          <w:sz w:val="24"/>
        </w:rPr>
        <w:t xml:space="preserve">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27.10.2025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87" w:name="P787"/>
          <w:bookmarkEnd w:id="787"/>
          <w:p>
            <w:pPr>
              <w:pStyle w:val="0"/>
              <w:jc w:val="center"/>
            </w:pPr>
            <w:r>
              <w:rPr>
                <w:sz w:val="24"/>
              </w:rPr>
              <w:t xml:space="preserve">РАСЧЕТ</w:t>
            </w:r>
          </w:p>
          <w:p>
            <w:pPr>
              <w:pStyle w:val="0"/>
              <w:jc w:val="center"/>
            </w:pPr>
            <w:r>
              <w:rPr>
                <w:sz w:val="24"/>
              </w:rPr>
              <w:t xml:space="preserve">объема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проекта, в отношении которого заключено соглашение о защите и поощрении капиталовложений </w:t>
            </w:r>
            <w:hyperlink w:history="0" w:anchor="P1246" w:tooltip="&lt;1&gt; В настоящем документе используются понятия, установленные Федеральным законом, а также определения, установленные Правилами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
              <w:r>
                <w:rPr>
                  <w:sz w:val="24"/>
                  <w:color w:val="0000ff"/>
                </w:rPr>
                <w:t xml:space="preserve">&lt;1&gt;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710"/>
        <w:gridCol w:w="1293"/>
        <w:gridCol w:w="1203"/>
        <w:gridCol w:w="1359"/>
        <w:gridCol w:w="774"/>
        <w:gridCol w:w="1975"/>
        <w:gridCol w:w="1391"/>
        <w:gridCol w:w="340"/>
      </w:tblGrid>
      <w:tr>
        <w:tblPrEx>
          <w:tblBorders>
            <w:insideH w:val="single" w:sz="4"/>
          </w:tblBorders>
        </w:tblPrEx>
        <w:tc>
          <w:tcPr>
            <w:gridSpan w:val="8"/>
            <w:tcW w:w="9045" w:type="dxa"/>
            <w:tcBorders>
              <w:top w:val="nil"/>
              <w:left w:val="nil"/>
              <w:bottom w:val="single" w:sz="4"/>
              <w:right w:val="nil"/>
            </w:tcBorders>
          </w:tcPr>
          <w:p>
            <w:pPr>
              <w:pStyle w:val="0"/>
            </w:pPr>
            <w:r>
              <w:rPr>
                <w:sz w:val="24"/>
              </w:rPr>
            </w:r>
          </w:p>
        </w:tc>
      </w:tr>
      <w:tr>
        <w:tc>
          <w:tcPr>
            <w:gridSpan w:val="8"/>
            <w:tcW w:w="9045" w:type="dxa"/>
            <w:tcBorders>
              <w:top w:val="single" w:sz="4"/>
              <w:left w:val="nil"/>
              <w:bottom w:val="nil"/>
              <w:right w:val="nil"/>
            </w:tcBorders>
          </w:tcPr>
          <w:p>
            <w:pPr>
              <w:pStyle w:val="0"/>
              <w:jc w:val="center"/>
            </w:pPr>
            <w:r>
              <w:rPr>
                <w:sz w:val="24"/>
              </w:rPr>
              <w:t xml:space="preserve">(полное наименование проекта)</w:t>
            </w:r>
          </w:p>
        </w:tc>
      </w:tr>
      <w:tr>
        <w:tc>
          <w:tcPr>
            <w:gridSpan w:val="8"/>
            <w:tcW w:w="9045" w:type="dxa"/>
            <w:tcBorders>
              <w:top w:val="nil"/>
              <w:left w:val="nil"/>
              <w:bottom w:val="single" w:sz="4"/>
              <w:right w:val="nil"/>
            </w:tcBorders>
          </w:tcPr>
          <w:p>
            <w:pPr>
              <w:pStyle w:val="0"/>
            </w:pPr>
            <w:r>
              <w:rPr>
                <w:sz w:val="24"/>
              </w:rPr>
            </w:r>
          </w:p>
        </w:tc>
      </w:tr>
      <w:tr>
        <w:tc>
          <w:tcPr>
            <w:gridSpan w:val="8"/>
            <w:tcW w:w="9045" w:type="dxa"/>
            <w:tcBorders>
              <w:top w:val="single" w:sz="4"/>
              <w:left w:val="nil"/>
              <w:bottom w:val="nil"/>
              <w:right w:val="nil"/>
            </w:tcBorders>
          </w:tcPr>
          <w:p>
            <w:pPr>
              <w:pStyle w:val="0"/>
              <w:jc w:val="center"/>
            </w:pPr>
            <w:r>
              <w:rPr>
                <w:sz w:val="24"/>
              </w:rPr>
              <w:t xml:space="preserve">(полное наименование организации)</w:t>
            </w:r>
          </w:p>
        </w:tc>
      </w:tr>
      <w:tr>
        <w:tc>
          <w:tcPr>
            <w:gridSpan w:val="8"/>
            <w:tcW w:w="9045" w:type="dxa"/>
            <w:tcBorders>
              <w:top w:val="nil"/>
              <w:left w:val="nil"/>
              <w:bottom w:val="single" w:sz="4"/>
              <w:right w:val="nil"/>
            </w:tcBorders>
          </w:tcPr>
          <w:p>
            <w:pPr>
              <w:pStyle w:val="0"/>
            </w:pPr>
            <w:r>
              <w:rPr>
                <w:sz w:val="24"/>
              </w:rPr>
            </w:r>
          </w:p>
        </w:tc>
      </w:tr>
      <w:tr>
        <w:tblPrEx>
          <w:tblBorders>
            <w:insideH w:val="single" w:sz="4"/>
          </w:tblBorders>
        </w:tblPrEx>
        <w:tc>
          <w:tcPr>
            <w:tcW w:w="710" w:type="dxa"/>
            <w:vAlign w:val="bottom"/>
            <w:tcBorders>
              <w:top w:val="single" w:sz="4"/>
              <w:left w:val="nil"/>
              <w:bottom w:val="nil"/>
              <w:right w:val="nil"/>
            </w:tcBorders>
          </w:tcPr>
          <w:p>
            <w:pPr>
              <w:pStyle w:val="0"/>
            </w:pPr>
            <w:r>
              <w:rPr>
                <w:sz w:val="24"/>
              </w:rPr>
              <w:t xml:space="preserve">ИНН</w:t>
            </w:r>
          </w:p>
        </w:tc>
        <w:tc>
          <w:tcPr>
            <w:gridSpan w:val="3"/>
            <w:tcW w:w="3855" w:type="dxa"/>
            <w:vAlign w:val="bottom"/>
            <w:tcBorders>
              <w:top w:val="single" w:sz="4"/>
              <w:left w:val="nil"/>
              <w:bottom w:val="single" w:sz="4"/>
              <w:right w:val="nil"/>
            </w:tcBorders>
          </w:tcPr>
          <w:p>
            <w:pPr>
              <w:pStyle w:val="0"/>
            </w:pPr>
            <w:r>
              <w:rPr>
                <w:sz w:val="24"/>
              </w:rPr>
            </w:r>
          </w:p>
        </w:tc>
        <w:tc>
          <w:tcPr>
            <w:tcW w:w="774" w:type="dxa"/>
            <w:vAlign w:val="bottom"/>
            <w:tcBorders>
              <w:top w:val="single" w:sz="4"/>
              <w:left w:val="nil"/>
              <w:bottom w:val="nil"/>
              <w:right w:val="nil"/>
            </w:tcBorders>
          </w:tcPr>
          <w:p>
            <w:pPr>
              <w:pStyle w:val="0"/>
            </w:pPr>
            <w:r>
              <w:rPr>
                <w:sz w:val="24"/>
              </w:rPr>
              <w:t xml:space="preserve">, КПП</w:t>
            </w:r>
          </w:p>
        </w:tc>
        <w:tc>
          <w:tcPr>
            <w:gridSpan w:val="3"/>
            <w:tcW w:w="3706" w:type="dxa"/>
            <w:vAlign w:val="bottom"/>
            <w:tcBorders>
              <w:top w:val="single" w:sz="4"/>
              <w:left w:val="nil"/>
              <w:bottom w:val="single" w:sz="4"/>
              <w:right w:val="nil"/>
            </w:tcBorders>
          </w:tcPr>
          <w:p>
            <w:pPr>
              <w:pStyle w:val="0"/>
            </w:pPr>
            <w:r>
              <w:rPr>
                <w:sz w:val="24"/>
              </w:rPr>
            </w:r>
          </w:p>
        </w:tc>
      </w:tr>
      <w:tr>
        <w:tc>
          <w:tcPr>
            <w:gridSpan w:val="8"/>
            <w:tcW w:w="9045" w:type="dxa"/>
            <w:tcBorders>
              <w:top w:val="nil"/>
              <w:left w:val="nil"/>
              <w:bottom w:val="nil"/>
              <w:right w:val="nil"/>
            </w:tcBorders>
          </w:tcPr>
          <w:bookmarkStart w:id="799" w:name="P799"/>
          <w:bookmarkEnd w:id="799"/>
          <w:p>
            <w:pPr>
              <w:pStyle w:val="0"/>
              <w:ind w:firstLine="283"/>
              <w:jc w:val="both"/>
            </w:pPr>
            <w:r>
              <w:rPr>
                <w:sz w:val="24"/>
              </w:rPr>
              <w:t xml:space="preserve">1. Объем мер прямой государственной поддержки (если применимо) ____________________________ (рублей)</w:t>
            </w:r>
          </w:p>
          <w:p>
            <w:pPr>
              <w:pStyle w:val="0"/>
              <w:ind w:firstLine="283"/>
              <w:jc w:val="both"/>
            </w:pPr>
            <w:r>
              <w:rPr>
                <w:sz w:val="24"/>
              </w:rPr>
              <w:t xml:space="preserve">2. Объем и форма ранее возмещенных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(далее - Федеральный закон), на дату представления документов:</w:t>
            </w:r>
          </w:p>
        </w:tc>
      </w:tr>
      <w:tr>
        <w:tc>
          <w:tcPr>
            <w:gridSpan w:val="2"/>
            <w:tcW w:w="2003" w:type="dxa"/>
            <w:tcBorders>
              <w:top w:val="nil"/>
              <w:left w:val="nil"/>
              <w:bottom w:val="single" w:sz="4"/>
              <w:right w:val="nil"/>
            </w:tcBorders>
          </w:tcPr>
          <w:p>
            <w:pPr>
              <w:pStyle w:val="0"/>
            </w:pPr>
            <w:r>
              <w:rPr>
                <w:sz w:val="24"/>
              </w:rPr>
            </w:r>
          </w:p>
        </w:tc>
        <w:tc>
          <w:tcPr>
            <w:gridSpan w:val="4"/>
            <w:tcW w:w="5311" w:type="dxa"/>
            <w:vAlign w:val="bottom"/>
            <w:tcBorders>
              <w:top w:val="nil"/>
              <w:left w:val="nil"/>
              <w:bottom w:val="nil"/>
              <w:right w:val="nil"/>
            </w:tcBorders>
          </w:tcPr>
          <w:p>
            <w:pPr>
              <w:pStyle w:val="0"/>
              <w:jc w:val="center"/>
            </w:pPr>
            <w:r>
              <w:rPr>
                <w:sz w:val="24"/>
              </w:rPr>
              <w:t xml:space="preserve">(рублей) в форме субсидии за счет средств </w:t>
            </w:r>
            <w:hyperlink w:history="0" w:anchor="P1247" w:tooltip="&lt;2&gt; В случае предоставления субсидии указывается бюджет бюджетной системы Российской Федерации, за счет средств которого предоставлена субсидия.">
              <w:r>
                <w:rPr>
                  <w:sz w:val="24"/>
                  <w:color w:val="0000ff"/>
                </w:rPr>
                <w:t xml:space="preserve">&lt;2&gt;</w:t>
              </w:r>
            </w:hyperlink>
          </w:p>
        </w:tc>
        <w:tc>
          <w:tcPr>
            <w:gridSpan w:val="2"/>
            <w:tcW w:w="1731" w:type="dxa"/>
            <w:tcBorders>
              <w:top w:val="nil"/>
              <w:left w:val="nil"/>
              <w:bottom w:val="single" w:sz="4"/>
              <w:right w:val="nil"/>
            </w:tcBorders>
          </w:tcPr>
          <w:p>
            <w:pPr>
              <w:pStyle w:val="0"/>
            </w:pPr>
            <w:r>
              <w:rPr>
                <w:sz w:val="24"/>
              </w:rPr>
            </w:r>
          </w:p>
        </w:tc>
      </w:tr>
      <w:tr>
        <w:tc>
          <w:tcPr>
            <w:gridSpan w:val="7"/>
            <w:tcW w:w="8705" w:type="dxa"/>
            <w:tcBorders>
              <w:top w:val="nil"/>
              <w:left w:val="nil"/>
              <w:bottom w:val="single" w:sz="4"/>
              <w:right w:val="nil"/>
            </w:tcBorders>
          </w:tcPr>
          <w:p>
            <w:pPr>
              <w:pStyle w:val="0"/>
            </w:pPr>
            <w:r>
              <w:rPr>
                <w:sz w:val="24"/>
              </w:rPr>
            </w:r>
          </w:p>
        </w:tc>
        <w:tc>
          <w:tcPr>
            <w:tcW w:w="340" w:type="dxa"/>
            <w:vAlign w:val="bottom"/>
            <w:tcBorders>
              <w:top w:val="single" w:sz="4"/>
              <w:left w:val="nil"/>
              <w:bottom w:val="nil"/>
              <w:right w:val="nil"/>
            </w:tcBorders>
          </w:tcPr>
          <w:p>
            <w:pPr>
              <w:pStyle w:val="0"/>
              <w:jc w:val="both"/>
            </w:pPr>
            <w:r>
              <w:rPr>
                <w:sz w:val="24"/>
              </w:rPr>
              <w:t xml:space="preserve">;</w:t>
            </w:r>
          </w:p>
        </w:tc>
      </w:tr>
      <w:tr>
        <w:tc>
          <w:tcPr>
            <w:gridSpan w:val="3"/>
            <w:tcW w:w="3206" w:type="dxa"/>
            <w:tcBorders>
              <w:top w:val="single" w:sz="4"/>
              <w:left w:val="nil"/>
              <w:bottom w:val="single" w:sz="4"/>
              <w:right w:val="nil"/>
            </w:tcBorders>
          </w:tcPr>
          <w:p>
            <w:pPr>
              <w:pStyle w:val="0"/>
            </w:pPr>
            <w:r>
              <w:rPr>
                <w:sz w:val="24"/>
              </w:rPr>
            </w:r>
          </w:p>
        </w:tc>
        <w:tc>
          <w:tcPr>
            <w:gridSpan w:val="5"/>
            <w:tcW w:w="5839" w:type="dxa"/>
            <w:vAlign w:val="bottom"/>
            <w:tcBorders>
              <w:top w:val="nil"/>
              <w:left w:val="nil"/>
              <w:bottom w:val="nil"/>
              <w:right w:val="nil"/>
            </w:tcBorders>
          </w:tcPr>
          <w:p>
            <w:pPr>
              <w:pStyle w:val="0"/>
              <w:jc w:val="both"/>
            </w:pPr>
            <w:r>
              <w:rPr>
                <w:sz w:val="24"/>
              </w:rPr>
              <w:t xml:space="preserve">(рублей) в форме налогового вычета</w:t>
            </w:r>
          </w:p>
        </w:tc>
      </w:tr>
      <w:tr>
        <w:tc>
          <w:tcPr>
            <w:gridSpan w:val="8"/>
            <w:tcW w:w="9045" w:type="dxa"/>
            <w:tcBorders>
              <w:top w:val="nil"/>
              <w:left w:val="nil"/>
              <w:bottom w:val="nil"/>
              <w:right w:val="nil"/>
            </w:tcBorders>
          </w:tcPr>
          <w:p>
            <w:pPr>
              <w:pStyle w:val="0"/>
              <w:ind w:firstLine="283"/>
              <w:jc w:val="both"/>
            </w:pPr>
            <w:r>
              <w:rPr>
                <w:sz w:val="24"/>
              </w:rPr>
              <w:t xml:space="preserve">3. Срок начала возмещения затрат, указанных в </w:t>
            </w:r>
            <w:r>
              <w:rPr>
                <w:sz w:val="24"/>
              </w:rPr>
              <w:t xml:space="preserve">части 1 статьи 15</w:t>
            </w:r>
            <w:r>
              <w:rPr>
                <w:sz w:val="24"/>
              </w:rPr>
              <w:t xml:space="preserve"> Федерального закона, "__" _______________ 20__ г.</w:t>
            </w:r>
          </w:p>
        </w:tc>
      </w:tr>
      <w:tr>
        <w:tc>
          <w:tcPr>
            <w:gridSpan w:val="8"/>
            <w:tcW w:w="9045" w:type="dxa"/>
            <w:tcBorders>
              <w:top w:val="nil"/>
              <w:left w:val="nil"/>
              <w:bottom w:val="nil"/>
              <w:right w:val="nil"/>
            </w:tcBorders>
          </w:tcPr>
          <w:p>
            <w:pPr>
              <w:pStyle w:val="0"/>
              <w:ind w:firstLine="283"/>
              <w:jc w:val="both"/>
            </w:pPr>
            <w:r>
              <w:rPr>
                <w:sz w:val="24"/>
              </w:rPr>
              <w:t xml:space="preserve">4. Объем возмещенного реального ущерба (если применимо) ______________________________ (рублей)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Объем возмещения затрат в связи с реализацией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098"/>
        <w:gridCol w:w="1474"/>
        <w:gridCol w:w="1304"/>
        <w:gridCol w:w="1134"/>
        <w:gridCol w:w="2494"/>
      </w:tblGrid>
      <w:tr>
        <w:tc>
          <w:tcPr>
            <w:tcW w:w="567" w:type="dxa"/>
          </w:tcPr>
          <w:p>
            <w:pPr>
              <w:pStyle w:val="0"/>
              <w:jc w:val="center"/>
            </w:pPr>
            <w:r>
              <w:rPr>
                <w:sz w:val="24"/>
              </w:rPr>
              <w:t xml:space="preserve">N п/п</w:t>
            </w:r>
          </w:p>
        </w:tc>
        <w:tc>
          <w:tcPr>
            <w:tcW w:w="2098" w:type="dxa"/>
          </w:tcPr>
          <w:p>
            <w:pPr>
              <w:pStyle w:val="0"/>
              <w:jc w:val="center"/>
            </w:pPr>
            <w:r>
              <w:rPr>
                <w:sz w:val="24"/>
              </w:rPr>
              <w:t xml:space="preserve">Вид затрат</w:t>
            </w:r>
          </w:p>
        </w:tc>
        <w:tc>
          <w:tcPr>
            <w:tcW w:w="1474" w:type="dxa"/>
          </w:tcPr>
          <w:p>
            <w:pPr>
              <w:pStyle w:val="0"/>
              <w:jc w:val="center"/>
            </w:pPr>
            <w:r>
              <w:rPr>
                <w:sz w:val="24"/>
              </w:rPr>
              <w:t xml:space="preserve">Объем фактически понесенных затрат (без учета НДС) </w:t>
            </w:r>
            <w:hyperlink w:history="0" w:anchor="P1248" w:tooltip="&lt;3&gt; В строках 1 - 4 графы 3 указываются соответственно значения показателей Cинф обесп, Cинф соп, Cис, Cдем, рассчитанные в соответствии с пунктами 2(1) - 2(4) формы расчета объема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едусмотренной прило...">
              <w:r>
                <w:rPr>
                  <w:sz w:val="24"/>
                  <w:color w:val="0000ff"/>
                </w:rPr>
                <w:t xml:space="preserve">&lt;3&gt;</w:t>
              </w:r>
            </w:hyperlink>
            <w:r>
              <w:rPr>
                <w:sz w:val="24"/>
              </w:rPr>
              <w:t xml:space="preserve">, рублей</w:t>
            </w:r>
          </w:p>
        </w:tc>
        <w:tc>
          <w:tcPr>
            <w:tcW w:w="1304" w:type="dxa"/>
          </w:tcPr>
          <w:p>
            <w:pPr>
              <w:pStyle w:val="0"/>
              <w:jc w:val="center"/>
            </w:pPr>
            <w:r>
              <w:rPr>
                <w:sz w:val="24"/>
              </w:rPr>
              <w:t xml:space="preserve">Предельный объем возмещаемых затрат, процентов</w:t>
            </w:r>
          </w:p>
        </w:tc>
        <w:tc>
          <w:tcPr>
            <w:tcW w:w="1134" w:type="dxa"/>
          </w:tcPr>
          <w:p>
            <w:pPr>
              <w:pStyle w:val="0"/>
              <w:jc w:val="center"/>
            </w:pPr>
            <w:r>
              <w:rPr>
                <w:sz w:val="24"/>
              </w:rPr>
              <w:t xml:space="preserve">Предельный срок возмещения затрат, лет</w:t>
            </w:r>
          </w:p>
        </w:tc>
        <w:tc>
          <w:tcPr>
            <w:tcW w:w="2494" w:type="dxa"/>
          </w:tcPr>
          <w:p>
            <w:pPr>
              <w:pStyle w:val="0"/>
              <w:jc w:val="center"/>
            </w:pPr>
            <w:r>
              <w:rPr>
                <w:sz w:val="24"/>
              </w:rPr>
              <w:t xml:space="preserve">Объем возмещения затрат, рублей </w:t>
            </w:r>
            <w:r>
              <w:rPr>
                <w:position w:val="-5"/>
              </w:rPr>
              <w:drawing>
                <wp:inline distT="0" distB="0" distL="0" distR="0">
                  <wp:extent cx="1504950" cy="217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217805"/>
                          </a:xfrm>
                          <a:prstGeom prst="rect">
                            <a:avLst/>
                          </a:prstGeom>
                          <a:noFill/>
                          <a:ln>
                            <a:noFill/>
                          </a:ln>
                        </pic:spPr>
                      </pic:pic>
                    </a:graphicData>
                  </a:graphic>
                </wp:inline>
              </w:drawing>
            </w:r>
          </w:p>
        </w:tc>
      </w:tr>
      <w:tr>
        <w:tc>
          <w:tcPr>
            <w:tcW w:w="567" w:type="dxa"/>
          </w:tcPr>
          <w:p>
            <w:pPr>
              <w:pStyle w:val="0"/>
              <w:jc w:val="center"/>
            </w:pPr>
            <w:r>
              <w:rPr>
                <w:sz w:val="24"/>
              </w:rPr>
              <w:t xml:space="preserve">1</w:t>
            </w:r>
          </w:p>
        </w:tc>
        <w:tc>
          <w:tcPr>
            <w:tcW w:w="2098" w:type="dxa"/>
          </w:tcPr>
          <w:p>
            <w:pPr>
              <w:pStyle w:val="0"/>
              <w:jc w:val="center"/>
            </w:pPr>
            <w:r>
              <w:rPr>
                <w:sz w:val="24"/>
              </w:rPr>
              <w:t xml:space="preserve">2</w:t>
            </w:r>
          </w:p>
        </w:tc>
        <w:tc>
          <w:tcPr>
            <w:tcW w:w="1474" w:type="dxa"/>
          </w:tcPr>
          <w:p>
            <w:pPr>
              <w:pStyle w:val="0"/>
              <w:jc w:val="center"/>
            </w:pPr>
            <w:r>
              <w:rPr>
                <w:sz w:val="24"/>
              </w:rPr>
              <w:t xml:space="preserve">3</w:t>
            </w:r>
          </w:p>
        </w:tc>
        <w:tc>
          <w:tcPr>
            <w:tcW w:w="1304" w:type="dxa"/>
          </w:tcPr>
          <w:p>
            <w:pPr>
              <w:pStyle w:val="0"/>
              <w:jc w:val="center"/>
            </w:pPr>
            <w:r>
              <w:rPr>
                <w:sz w:val="24"/>
              </w:rPr>
              <w:t xml:space="preserve">4</w:t>
            </w:r>
          </w:p>
        </w:tc>
        <w:tc>
          <w:tcPr>
            <w:tcW w:w="1134" w:type="dxa"/>
          </w:tcPr>
          <w:p>
            <w:pPr>
              <w:pStyle w:val="0"/>
              <w:jc w:val="center"/>
            </w:pPr>
            <w:r>
              <w:rPr>
                <w:sz w:val="24"/>
              </w:rPr>
              <w:t xml:space="preserve">5</w:t>
            </w:r>
          </w:p>
        </w:tc>
        <w:tc>
          <w:tcPr>
            <w:tcW w:w="2494" w:type="dxa"/>
          </w:tcPr>
          <w:p>
            <w:pPr>
              <w:pStyle w:val="0"/>
              <w:jc w:val="center"/>
            </w:pPr>
            <w:r>
              <w:rPr>
                <w:sz w:val="24"/>
              </w:rPr>
              <w:t xml:space="preserve">6</w:t>
            </w:r>
          </w:p>
        </w:tc>
      </w:tr>
      <w:tr>
        <w:tc>
          <w:tcPr>
            <w:tcW w:w="567" w:type="dxa"/>
          </w:tcPr>
          <w:bookmarkStart w:id="825" w:name="P825"/>
          <w:bookmarkEnd w:id="825"/>
          <w:p>
            <w:pPr>
              <w:pStyle w:val="0"/>
              <w:jc w:val="center"/>
            </w:pPr>
            <w:r>
              <w:rPr>
                <w:sz w:val="24"/>
              </w:rPr>
              <w:t xml:space="preserve">1</w:t>
            </w:r>
          </w:p>
        </w:tc>
        <w:tc>
          <w:tcPr>
            <w:tcW w:w="2098" w:type="dxa"/>
          </w:tcPr>
          <w:p>
            <w:pPr>
              <w:pStyle w:val="0"/>
            </w:pPr>
            <w:r>
              <w:rPr>
                <w:sz w:val="24"/>
              </w:rPr>
              <w:t xml:space="preserve">Объем фактически понесенных затрат на объекты обеспечивающей инфраструктуры</w:t>
            </w:r>
          </w:p>
          <w:p>
            <w:pPr>
              <w:pStyle w:val="0"/>
            </w:pPr>
            <w:r>
              <w:rPr>
                <w:sz w:val="24"/>
              </w:rPr>
              <w:t xml:space="preserve">(C</w:t>
            </w:r>
            <w:r>
              <w:rPr>
                <w:sz w:val="24"/>
                <w:vertAlign w:val="subscript"/>
              </w:rPr>
              <w:t xml:space="preserve">инф обесп</w:t>
            </w:r>
            <w:r>
              <w:rPr>
                <w:sz w:val="24"/>
              </w:rPr>
              <w:t xml:space="preserve">)</w:t>
            </w:r>
          </w:p>
        </w:tc>
        <w:tc>
          <w:tcPr>
            <w:tcW w:w="1474" w:type="dxa"/>
          </w:tcPr>
          <w:p>
            <w:pPr>
              <w:pStyle w:val="0"/>
            </w:pPr>
            <w:r>
              <w:rPr>
                <w:sz w:val="24"/>
              </w:rPr>
            </w:r>
          </w:p>
        </w:tc>
        <w:tc>
          <w:tcPr>
            <w:tcW w:w="1304" w:type="dxa"/>
          </w:tcPr>
          <w:p>
            <w:pPr>
              <w:pStyle w:val="0"/>
              <w:jc w:val="center"/>
            </w:pPr>
            <w:r>
              <w:rPr>
                <w:sz w:val="24"/>
              </w:rPr>
              <w:t xml:space="preserve">50</w:t>
            </w:r>
          </w:p>
        </w:tc>
        <w:tc>
          <w:tcPr>
            <w:tcW w:w="1134" w:type="dxa"/>
          </w:tcPr>
          <w:p>
            <w:pPr>
              <w:pStyle w:val="0"/>
            </w:pPr>
            <w:r>
              <w:rPr>
                <w:sz w:val="24"/>
              </w:rPr>
            </w:r>
          </w:p>
        </w:tc>
        <w:tc>
          <w:tcPr>
            <w:tcW w:w="2494" w:type="dxa"/>
          </w:tcPr>
          <w:p>
            <w:pPr>
              <w:pStyle w:val="0"/>
            </w:pPr>
            <w:r>
              <w:rPr>
                <w:sz w:val="24"/>
              </w:rPr>
            </w:r>
          </w:p>
        </w:tc>
      </w:tr>
      <w:tr>
        <w:tc>
          <w:tcPr>
            <w:tcW w:w="567" w:type="dxa"/>
          </w:tcPr>
          <w:p>
            <w:pPr>
              <w:pStyle w:val="0"/>
              <w:jc w:val="center"/>
            </w:pPr>
            <w:r>
              <w:rPr>
                <w:sz w:val="24"/>
              </w:rPr>
              <w:t xml:space="preserve">2</w:t>
            </w:r>
          </w:p>
        </w:tc>
        <w:tc>
          <w:tcPr>
            <w:tcW w:w="2098" w:type="dxa"/>
            <w:vAlign w:val="center"/>
          </w:tcPr>
          <w:p>
            <w:pPr>
              <w:pStyle w:val="0"/>
            </w:pPr>
            <w:r>
              <w:rPr>
                <w:sz w:val="24"/>
              </w:rPr>
              <w:t xml:space="preserve">Объем фактически понесенных затрат на объекты сопутствующей инфраструктуры</w:t>
            </w:r>
          </w:p>
          <w:p>
            <w:pPr>
              <w:pStyle w:val="0"/>
            </w:pPr>
            <w:r>
              <w:rPr>
                <w:sz w:val="24"/>
              </w:rPr>
              <w:t xml:space="preserve">(C</w:t>
            </w:r>
            <w:r>
              <w:rPr>
                <w:sz w:val="24"/>
                <w:vertAlign w:val="subscript"/>
              </w:rPr>
              <w:t xml:space="preserve">инф соп</w:t>
            </w:r>
            <w:r>
              <w:rPr>
                <w:sz w:val="24"/>
              </w:rPr>
              <w:t xml:space="preserve">)</w:t>
            </w:r>
          </w:p>
        </w:tc>
        <w:tc>
          <w:tcPr>
            <w:tcW w:w="1474" w:type="dxa"/>
          </w:tcPr>
          <w:p>
            <w:pPr>
              <w:pStyle w:val="0"/>
            </w:pPr>
            <w:r>
              <w:rPr>
                <w:sz w:val="24"/>
              </w:rPr>
            </w:r>
          </w:p>
        </w:tc>
        <w:tc>
          <w:tcPr>
            <w:tcW w:w="1304" w:type="dxa"/>
          </w:tcPr>
          <w:p>
            <w:pPr>
              <w:pStyle w:val="0"/>
              <w:jc w:val="center"/>
            </w:pPr>
            <w:r>
              <w:rPr>
                <w:sz w:val="24"/>
              </w:rPr>
              <w:t xml:space="preserve">100</w:t>
            </w:r>
          </w:p>
        </w:tc>
        <w:tc>
          <w:tcPr>
            <w:tcW w:w="1134" w:type="dxa"/>
          </w:tcPr>
          <w:p>
            <w:pPr>
              <w:pStyle w:val="0"/>
            </w:pPr>
            <w:r>
              <w:rPr>
                <w:sz w:val="24"/>
              </w:rPr>
            </w:r>
          </w:p>
        </w:tc>
        <w:tc>
          <w:tcPr>
            <w:tcW w:w="2494" w:type="dxa"/>
          </w:tcPr>
          <w:p>
            <w:pPr>
              <w:pStyle w:val="0"/>
            </w:pPr>
            <w:r>
              <w:rPr>
                <w:sz w:val="24"/>
              </w:rPr>
            </w:r>
          </w:p>
        </w:tc>
      </w:tr>
      <w:tr>
        <w:tc>
          <w:tcPr>
            <w:tcW w:w="567" w:type="dxa"/>
          </w:tcPr>
          <w:p>
            <w:pPr>
              <w:pStyle w:val="0"/>
              <w:jc w:val="center"/>
            </w:pPr>
            <w:r>
              <w:rPr>
                <w:sz w:val="24"/>
              </w:rPr>
              <w:t xml:space="preserve">3</w:t>
            </w:r>
          </w:p>
        </w:tc>
        <w:tc>
          <w:tcPr>
            <w:tcW w:w="2098" w:type="dxa"/>
          </w:tcPr>
          <w:p>
            <w:pPr>
              <w:pStyle w:val="0"/>
            </w:pPr>
            <w:r>
              <w:rPr>
                <w:sz w:val="24"/>
              </w:rPr>
              <w:t xml:space="preserve">Объем фактически понесенных затрат на уплату процентов на инвестиционной стадии (C</w:t>
            </w:r>
            <w:r>
              <w:rPr>
                <w:sz w:val="24"/>
                <w:vertAlign w:val="subscript"/>
              </w:rPr>
              <w:t xml:space="preserve">ис</w:t>
            </w:r>
            <w:r>
              <w:rPr>
                <w:sz w:val="24"/>
              </w:rPr>
              <w:t xml:space="preserve">)</w:t>
            </w:r>
          </w:p>
        </w:tc>
        <w:tc>
          <w:tcPr>
            <w:tcW w:w="1474" w:type="dxa"/>
          </w:tcPr>
          <w:p>
            <w:pPr>
              <w:pStyle w:val="0"/>
            </w:pPr>
            <w:r>
              <w:rPr>
                <w:sz w:val="24"/>
              </w:rPr>
            </w:r>
          </w:p>
        </w:tc>
        <w:tc>
          <w:tcPr>
            <w:tcW w:w="1304" w:type="dxa"/>
          </w:tcPr>
          <w:p>
            <w:pPr>
              <w:pStyle w:val="0"/>
              <w:jc w:val="center"/>
            </w:pPr>
            <w:r>
              <w:rPr>
                <w:sz w:val="24"/>
              </w:rPr>
              <w:t xml:space="preserve">50</w:t>
            </w:r>
          </w:p>
        </w:tc>
        <w:tc>
          <w:tcPr>
            <w:tcW w:w="1134" w:type="dxa"/>
          </w:tcPr>
          <w:p>
            <w:pPr>
              <w:pStyle w:val="0"/>
            </w:pPr>
            <w:r>
              <w:rPr>
                <w:sz w:val="24"/>
              </w:rPr>
            </w:r>
          </w:p>
        </w:tc>
        <w:tc>
          <w:tcPr>
            <w:tcW w:w="2494" w:type="dxa"/>
          </w:tcPr>
          <w:p>
            <w:pPr>
              <w:pStyle w:val="0"/>
            </w:pPr>
            <w:r>
              <w:rPr>
                <w:sz w:val="24"/>
              </w:rPr>
            </w:r>
          </w:p>
        </w:tc>
      </w:tr>
      <w:tr>
        <w:tc>
          <w:tcPr>
            <w:tcW w:w="567" w:type="dxa"/>
          </w:tcPr>
          <w:bookmarkStart w:id="845" w:name="P845"/>
          <w:bookmarkEnd w:id="845"/>
          <w:p>
            <w:pPr>
              <w:pStyle w:val="0"/>
              <w:jc w:val="center"/>
            </w:pPr>
            <w:r>
              <w:rPr>
                <w:sz w:val="24"/>
              </w:rPr>
              <w:t xml:space="preserve">4</w:t>
            </w:r>
          </w:p>
        </w:tc>
        <w:tc>
          <w:tcPr>
            <w:tcW w:w="2098" w:type="dxa"/>
            <w:vAlign w:val="center"/>
          </w:tcPr>
          <w:p>
            <w:pPr>
              <w:pStyle w:val="0"/>
            </w:pPr>
            <w:r>
              <w:rPr>
                <w:sz w:val="24"/>
              </w:rPr>
              <w:t xml:space="preserve">Объем фактически понесенных затрат на демонтаж (C</w:t>
            </w:r>
            <w:r>
              <w:rPr>
                <w:sz w:val="24"/>
                <w:vertAlign w:val="subscript"/>
              </w:rPr>
              <w:t xml:space="preserve">дем</w:t>
            </w:r>
            <w:r>
              <w:rPr>
                <w:sz w:val="24"/>
              </w:rPr>
              <w:t xml:space="preserve">)</w:t>
            </w:r>
          </w:p>
        </w:tc>
        <w:tc>
          <w:tcPr>
            <w:tcW w:w="1474" w:type="dxa"/>
          </w:tcPr>
          <w:p>
            <w:pPr>
              <w:pStyle w:val="0"/>
            </w:pPr>
            <w:r>
              <w:rPr>
                <w:sz w:val="24"/>
              </w:rPr>
            </w:r>
          </w:p>
        </w:tc>
        <w:tc>
          <w:tcPr>
            <w:tcW w:w="1304" w:type="dxa"/>
          </w:tcPr>
          <w:p>
            <w:pPr>
              <w:pStyle w:val="0"/>
              <w:jc w:val="center"/>
            </w:pPr>
            <w:r>
              <w:rPr>
                <w:sz w:val="24"/>
              </w:rPr>
              <w:t xml:space="preserve">100</w:t>
            </w:r>
          </w:p>
        </w:tc>
        <w:tc>
          <w:tcPr>
            <w:tcW w:w="1134" w:type="dxa"/>
          </w:tcPr>
          <w:p>
            <w:pPr>
              <w:pStyle w:val="0"/>
            </w:pPr>
            <w:r>
              <w:rPr>
                <w:sz w:val="24"/>
              </w:rPr>
            </w:r>
          </w:p>
        </w:tc>
        <w:tc>
          <w:tcPr>
            <w:tcW w:w="2494" w:type="dxa"/>
          </w:tcPr>
          <w:p>
            <w:pPr>
              <w:pStyle w:val="0"/>
            </w:pPr>
            <w:r>
              <w:rPr>
                <w:sz w:val="24"/>
              </w:rPr>
            </w:r>
          </w:p>
        </w:tc>
      </w:tr>
      <w:tr>
        <w:tc>
          <w:tcPr>
            <w:tcW w:w="567" w:type="dxa"/>
          </w:tcPr>
          <w:p>
            <w:pPr>
              <w:pStyle w:val="0"/>
            </w:pPr>
            <w:r>
              <w:rPr>
                <w:sz w:val="24"/>
              </w:rPr>
            </w:r>
          </w:p>
        </w:tc>
        <w:tc>
          <w:tcPr>
            <w:gridSpan w:val="4"/>
            <w:tcW w:w="6010" w:type="dxa"/>
            <w:vAlign w:val="bottom"/>
          </w:tcPr>
          <w:p>
            <w:pPr>
              <w:pStyle w:val="0"/>
            </w:pPr>
            <w:r>
              <w:rPr>
                <w:sz w:val="24"/>
              </w:rPr>
              <w:t xml:space="preserve">Итог расчета объема возмещаемых затрат (C</w:t>
            </w:r>
            <w:r>
              <w:rPr>
                <w:sz w:val="24"/>
                <w:vertAlign w:val="subscript"/>
              </w:rPr>
              <w:t xml:space="preserve">х</w:t>
            </w:r>
            <w:r>
              <w:rPr>
                <w:sz w:val="24"/>
              </w:rPr>
              <w:t xml:space="preserve">)</w:t>
            </w:r>
          </w:p>
        </w:tc>
        <w:tc>
          <w:tcPr>
            <w:tcW w:w="24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85"/>
        <w:gridCol w:w="4252"/>
        <w:gridCol w:w="1134"/>
      </w:tblGrid>
      <w:tr>
        <w:tblPrEx>
          <w:tblBorders>
            <w:insideH w:val="single" w:sz="4"/>
          </w:tblBorders>
        </w:tblPrEx>
        <w:tc>
          <w:tcPr>
            <w:tcW w:w="3685" w:type="dxa"/>
            <w:tcBorders>
              <w:top w:val="nil"/>
              <w:left w:val="nil"/>
              <w:bottom w:val="nil"/>
              <w:right w:val="nil"/>
            </w:tcBorders>
            <w:vMerge w:val="restart"/>
          </w:tcPr>
          <w:p>
            <w:pPr>
              <w:pStyle w:val="0"/>
              <w:ind w:firstLine="283"/>
              <w:jc w:val="both"/>
            </w:pPr>
            <w:r>
              <w:rPr>
                <w:sz w:val="24"/>
              </w:rPr>
              <w:t xml:space="preserve">5. Форма возмещения затрат</w:t>
            </w:r>
          </w:p>
        </w:tc>
        <w:tc>
          <w:tcPr>
            <w:gridSpan w:val="2"/>
            <w:tcW w:w="5386"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5386" w:type="dxa"/>
            <w:vAlign w:val="center"/>
            <w:tcBorders>
              <w:top w:val="single" w:sz="4"/>
              <w:left w:val="nil"/>
              <w:bottom w:val="nil"/>
              <w:right w:val="nil"/>
            </w:tcBorders>
          </w:tcPr>
          <w:p>
            <w:pPr>
              <w:pStyle w:val="0"/>
              <w:jc w:val="center"/>
            </w:pPr>
            <w:r>
              <w:rPr>
                <w:sz w:val="24"/>
              </w:rPr>
              <w:t xml:space="preserve">(субсидия или налоговый вычет)</w:t>
            </w:r>
          </w:p>
        </w:tc>
      </w:tr>
      <w:tr>
        <w:tc>
          <w:tcPr>
            <w:tcW w:w="3685" w:type="dxa"/>
            <w:vAlign w:val="bottom"/>
            <w:tcBorders>
              <w:top w:val="nil"/>
              <w:left w:val="nil"/>
              <w:bottom w:val="nil"/>
              <w:right w:val="nil"/>
            </w:tcBorders>
          </w:tcPr>
          <w:p>
            <w:pPr>
              <w:pStyle w:val="0"/>
              <w:ind w:firstLine="283"/>
              <w:jc w:val="both"/>
            </w:pPr>
            <w:r>
              <w:rPr>
                <w:sz w:val="24"/>
              </w:rPr>
              <w:t xml:space="preserve">6. Объем возмещения затрат</w:t>
            </w:r>
          </w:p>
        </w:tc>
        <w:tc>
          <w:tcPr>
            <w:tcW w:w="4252" w:type="dxa"/>
            <w:tcBorders>
              <w:top w:val="nil"/>
              <w:left w:val="nil"/>
              <w:bottom w:val="single" w:sz="4"/>
              <w:right w:val="nil"/>
            </w:tcBorders>
          </w:tcPr>
          <w:p>
            <w:pPr>
              <w:pStyle w:val="0"/>
            </w:pPr>
            <w:r>
              <w:rPr>
                <w:sz w:val="24"/>
              </w:rPr>
            </w:r>
          </w:p>
        </w:tc>
        <w:tc>
          <w:tcPr>
            <w:tcW w:w="1134" w:type="dxa"/>
            <w:vAlign w:val="bottom"/>
            <w:tcBorders>
              <w:top w:val="nil"/>
              <w:left w:val="nil"/>
              <w:bottom w:val="nil"/>
              <w:right w:val="nil"/>
            </w:tcBorders>
          </w:tcPr>
          <w:p>
            <w:pPr>
              <w:pStyle w:val="0"/>
            </w:pPr>
            <w:r>
              <w:rPr>
                <w:sz w:val="24"/>
              </w:rPr>
              <w:t xml:space="preserve">(рублей),</w:t>
            </w:r>
          </w:p>
        </w:tc>
      </w:tr>
      <w:tr>
        <w:tc>
          <w:tcPr>
            <w:tcW w:w="3685" w:type="dxa"/>
            <w:tcBorders>
              <w:top w:val="nil"/>
              <w:left w:val="nil"/>
              <w:bottom w:val="nil"/>
              <w:right w:val="nil"/>
            </w:tcBorders>
          </w:tcPr>
          <w:p>
            <w:pPr>
              <w:pStyle w:val="0"/>
            </w:pPr>
            <w:r>
              <w:rPr>
                <w:sz w:val="24"/>
              </w:rPr>
            </w:r>
          </w:p>
        </w:tc>
        <w:tc>
          <w:tcPr>
            <w:tcW w:w="4252" w:type="dxa"/>
            <w:tcBorders>
              <w:top w:val="single" w:sz="4"/>
              <w:left w:val="nil"/>
              <w:bottom w:val="nil"/>
              <w:right w:val="nil"/>
            </w:tcBorders>
          </w:tcPr>
          <w:p>
            <w:pPr>
              <w:pStyle w:val="0"/>
              <w:jc w:val="center"/>
            </w:pPr>
            <w:r>
              <w:rPr>
                <w:sz w:val="24"/>
              </w:rPr>
              <w:t xml:space="preserve">(указывается объем возмещаемых затрат (показатель C</w:t>
            </w:r>
            <w:r>
              <w:rPr>
                <w:sz w:val="24"/>
                <w:vertAlign w:val="subscript"/>
              </w:rPr>
              <w:t xml:space="preserve">х</w:t>
            </w:r>
            <w:r>
              <w:rPr>
                <w:sz w:val="24"/>
              </w:rPr>
              <w:t xml:space="preserve">) за вычетом ранее возмещенных затрат, а также за вычетом мер прямой государственной поддержки, предоставленных в связи с осуществлением проекта)</w:t>
            </w:r>
          </w:p>
        </w:tc>
        <w:tc>
          <w:tcPr>
            <w:tcW w:w="1134"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в том числе:</w:t>
            </w:r>
          </w:p>
        </w:tc>
      </w:tr>
      <w:tr>
        <w:tc>
          <w:tcPr>
            <w:tcW w:w="9071" w:type="dxa"/>
            <w:vAlign w:val="bottom"/>
            <w:tcBorders>
              <w:top w:val="nil"/>
              <w:left w:val="nil"/>
              <w:bottom w:val="nil"/>
              <w:right w:val="nil"/>
            </w:tcBorders>
          </w:tcPr>
          <w:p>
            <w:pPr>
              <w:pStyle w:val="0"/>
              <w:ind w:firstLine="283"/>
              <w:jc w:val="both"/>
            </w:pPr>
            <w:r>
              <w:rPr>
                <w:sz w:val="24"/>
              </w:rPr>
              <w:t xml:space="preserve">с предельным сроком возмещения затрат 5 лет </w:t>
            </w:r>
            <w:hyperlink w:history="0" w:anchor="P1249" w:tooltip="&lt;4&gt; 6 лет - в случаях, предусмотренных пунктом 1 части 7 статьи 15 Федерального закона &quot;О защите и поощрении капиталовложений в Российской Федерации&quot; (далее - Федеральный закон).">
              <w:r>
                <w:rPr>
                  <w:sz w:val="24"/>
                  <w:color w:val="0000ff"/>
                </w:rPr>
                <w:t xml:space="preserve">&lt;4&gt;</w:t>
              </w:r>
            </w:hyperlink>
            <w:r>
              <w:rPr>
                <w:sz w:val="24"/>
              </w:rPr>
              <w:t xml:space="preserve"> - _____________________________ (рублей) до "__" __________ 20__ г.;</w:t>
            </w:r>
          </w:p>
        </w:tc>
      </w:tr>
      <w:tr>
        <w:tc>
          <w:tcPr>
            <w:tcW w:w="9071" w:type="dxa"/>
            <w:vAlign w:val="bottom"/>
            <w:tcBorders>
              <w:top w:val="nil"/>
              <w:left w:val="nil"/>
              <w:bottom w:val="nil"/>
              <w:right w:val="nil"/>
            </w:tcBorders>
          </w:tcPr>
          <w:p>
            <w:pPr>
              <w:pStyle w:val="0"/>
              <w:ind w:firstLine="283"/>
              <w:jc w:val="both"/>
            </w:pPr>
            <w:r>
              <w:rPr>
                <w:sz w:val="24"/>
              </w:rPr>
              <w:t xml:space="preserve">с предельным сроком возмещения затрат 10 лет </w:t>
            </w:r>
            <w:hyperlink w:history="0" w:anchor="P1250" w:tooltip="&lt;5&gt; 11 лет - в случаях, предусмотренных пунктом 2 части 7 статьи 15 Федерального закона.">
              <w:r>
                <w:rPr>
                  <w:sz w:val="24"/>
                  <w:color w:val="0000ff"/>
                </w:rPr>
                <w:t xml:space="preserve">&lt;5&gt;</w:t>
              </w:r>
            </w:hyperlink>
            <w:r>
              <w:rPr>
                <w:sz w:val="24"/>
              </w:rPr>
              <w:t xml:space="preserve"> - _____________________________ (рублей) до "__" 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Прогнозируемые к уплате организацией, реализующей проект, обязательные платежи, указанные в </w:t>
            </w:r>
            <w:r>
              <w:rPr>
                <w:sz w:val="24"/>
              </w:rPr>
              <w:t xml:space="preserve">части 5 статьи 15</w:t>
            </w:r>
            <w:r>
              <w:rPr>
                <w:sz w:val="24"/>
              </w:rPr>
              <w:t xml:space="preserve"> Федерального закона, для уплаты в бюджеты публично-правовых образований, являющихся сторонами соглашения о защите и поощрении капиталовложений, в связи с реализацией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2357"/>
        <w:gridCol w:w="1212"/>
        <w:gridCol w:w="1212"/>
        <w:gridCol w:w="1212"/>
        <w:gridCol w:w="1212"/>
        <w:gridCol w:w="1214"/>
      </w:tblGrid>
      <w:tr>
        <w:tc>
          <w:tcPr>
            <w:tcW w:w="614" w:type="dxa"/>
          </w:tcPr>
          <w:p>
            <w:pPr>
              <w:pStyle w:val="0"/>
              <w:jc w:val="center"/>
            </w:pPr>
            <w:r>
              <w:rPr>
                <w:sz w:val="24"/>
              </w:rPr>
              <w:t xml:space="preserve">N п/п</w:t>
            </w:r>
          </w:p>
        </w:tc>
        <w:tc>
          <w:tcPr>
            <w:tcW w:w="2357" w:type="dxa"/>
          </w:tcPr>
          <w:p>
            <w:pPr>
              <w:pStyle w:val="0"/>
              <w:jc w:val="center"/>
            </w:pPr>
            <w:r>
              <w:rPr>
                <w:sz w:val="24"/>
              </w:rPr>
              <w:t xml:space="preserve">Вид обязательных платежей</w:t>
            </w:r>
          </w:p>
        </w:tc>
        <w:tc>
          <w:tcPr>
            <w:tcW w:w="1212" w:type="dxa"/>
          </w:tcPr>
          <w:p>
            <w:pPr>
              <w:pStyle w:val="0"/>
              <w:jc w:val="center"/>
            </w:pPr>
            <w:r>
              <w:rPr>
                <w:sz w:val="24"/>
              </w:rPr>
              <w:t xml:space="preserve">Прогноз за период</w:t>
            </w:r>
          </w:p>
          <w:p>
            <w:pPr>
              <w:pStyle w:val="0"/>
              <w:jc w:val="center"/>
            </w:pPr>
            <w:r>
              <w:rPr>
                <w:sz w:val="24"/>
              </w:rPr>
              <w:t xml:space="preserve">i </w:t>
            </w:r>
            <w:hyperlink w:history="0" w:anchor="P1251" w:tooltip="&lt;6&gt; i - период (календарный год), в котором организация, реализующая проект, представила расчет объема возмещения затрат, указанных в части 1 статьи 15 Федерального закона, в связи с реализацией проекта.">
              <w:r>
                <w:rPr>
                  <w:sz w:val="24"/>
                  <w:color w:val="0000ff"/>
                </w:rPr>
                <w:t xml:space="preserve">&lt;6&gt;</w:t>
              </w:r>
            </w:hyperlink>
          </w:p>
        </w:tc>
        <w:tc>
          <w:tcPr>
            <w:tcW w:w="1212" w:type="dxa"/>
          </w:tcPr>
          <w:p>
            <w:pPr>
              <w:pStyle w:val="0"/>
              <w:jc w:val="center"/>
            </w:pPr>
            <w:r>
              <w:rPr>
                <w:sz w:val="24"/>
              </w:rPr>
              <w:t xml:space="preserve">Прогноз за период</w:t>
            </w:r>
          </w:p>
          <w:p>
            <w:pPr>
              <w:pStyle w:val="0"/>
              <w:jc w:val="center"/>
            </w:pPr>
            <w:r>
              <w:rPr>
                <w:sz w:val="24"/>
              </w:rPr>
              <w:t xml:space="preserve">i + 1</w:t>
            </w:r>
          </w:p>
        </w:tc>
        <w:tc>
          <w:tcPr>
            <w:tcW w:w="1212" w:type="dxa"/>
          </w:tcPr>
          <w:p>
            <w:pPr>
              <w:pStyle w:val="0"/>
              <w:jc w:val="center"/>
            </w:pPr>
            <w:r>
              <w:rPr>
                <w:sz w:val="24"/>
              </w:rPr>
              <w:t xml:space="preserve">Прогноз за период</w:t>
            </w:r>
          </w:p>
          <w:p>
            <w:pPr>
              <w:pStyle w:val="0"/>
              <w:jc w:val="center"/>
            </w:pPr>
            <w:r>
              <w:rPr>
                <w:sz w:val="24"/>
              </w:rPr>
              <w:t xml:space="preserve">i + 2</w:t>
            </w:r>
          </w:p>
        </w:tc>
        <w:tc>
          <w:tcPr>
            <w:tcW w:w="1212" w:type="dxa"/>
          </w:tcPr>
          <w:p>
            <w:pPr>
              <w:pStyle w:val="0"/>
              <w:jc w:val="center"/>
            </w:pPr>
            <w:r>
              <w:rPr>
                <w:sz w:val="24"/>
              </w:rPr>
              <w:t xml:space="preserve">Прогноз за период</w:t>
            </w:r>
          </w:p>
          <w:p>
            <w:pPr>
              <w:pStyle w:val="0"/>
              <w:jc w:val="center"/>
            </w:pPr>
            <w:r>
              <w:rPr>
                <w:sz w:val="24"/>
              </w:rPr>
              <w:t xml:space="preserve">i + </w:t>
            </w:r>
            <w:hyperlink w:history="0" w:anchor="P1252" w:tooltip="&lt;7&gt; n - указывается исходя из предельного срока возмещения затрат.">
              <w:r>
                <w:rPr>
                  <w:sz w:val="24"/>
                  <w:color w:val="0000ff"/>
                </w:rPr>
                <w:t xml:space="preserve">n &lt;7&gt;</w:t>
              </w:r>
            </w:hyperlink>
          </w:p>
        </w:tc>
        <w:tc>
          <w:tcPr>
            <w:tcW w:w="1214" w:type="dxa"/>
          </w:tcPr>
          <w:p>
            <w:pPr>
              <w:pStyle w:val="0"/>
              <w:jc w:val="center"/>
            </w:pPr>
            <w:r>
              <w:rPr>
                <w:sz w:val="24"/>
              </w:rPr>
              <w:t xml:space="preserve">Итого, рублей</w:t>
            </w:r>
          </w:p>
        </w:tc>
      </w:tr>
      <w:tr>
        <w:tc>
          <w:tcPr>
            <w:tcW w:w="614" w:type="dxa"/>
          </w:tcPr>
          <w:p>
            <w:pPr>
              <w:pStyle w:val="0"/>
              <w:jc w:val="center"/>
            </w:pPr>
            <w:r>
              <w:rPr>
                <w:sz w:val="24"/>
              </w:rPr>
              <w:t xml:space="preserve">1</w:t>
            </w:r>
          </w:p>
        </w:tc>
        <w:tc>
          <w:tcPr>
            <w:tcW w:w="2357" w:type="dxa"/>
          </w:tcPr>
          <w:p>
            <w:pPr>
              <w:pStyle w:val="0"/>
            </w:pPr>
            <w:r>
              <w:rPr>
                <w:sz w:val="24"/>
              </w:rPr>
              <w:t xml:space="preserve">Федеральный бюджет</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1.1</w:t>
            </w:r>
          </w:p>
        </w:tc>
        <w:tc>
          <w:tcPr>
            <w:tcW w:w="2357" w:type="dxa"/>
          </w:tcPr>
          <w:p>
            <w:pPr>
              <w:pStyle w:val="0"/>
            </w:pPr>
            <w:r>
              <w:rPr>
                <w:sz w:val="24"/>
              </w:rPr>
              <w:t xml:space="preserve">НДС (НДС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 </w:t>
            </w:r>
            <w:hyperlink w:history="0" w:anchor="P1253" w:tooltip="&lt;8&gt; Налог на добавленную стоимость (за вычетом налога, возмещенного организации, реализующей проект), уплаченный организацией, реализующей проект, в федеральный бюджет за соответствующие периоды.">
              <w:r>
                <w:rPr>
                  <w:sz w:val="24"/>
                  <w:color w:val="0000ff"/>
                </w:rPr>
                <w:t xml:space="preserve">&lt;8&gt;</w:t>
              </w:r>
            </w:hyperlink>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1.2</w:t>
            </w:r>
          </w:p>
        </w:tc>
        <w:tc>
          <w:tcPr>
            <w:tcW w:w="2357" w:type="dxa"/>
          </w:tcPr>
          <w:p>
            <w:pPr>
              <w:pStyle w:val="0"/>
            </w:pPr>
            <w:r>
              <w:rPr>
                <w:sz w:val="24"/>
              </w:rPr>
              <w:t xml:space="preserve">Налог на прибыль организаций</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1.3</w:t>
            </w:r>
          </w:p>
        </w:tc>
        <w:tc>
          <w:tcPr>
            <w:tcW w:w="2357" w:type="dxa"/>
          </w:tcPr>
          <w:p>
            <w:pPr>
              <w:pStyle w:val="0"/>
            </w:pPr>
            <w:r>
              <w:rPr>
                <w:sz w:val="24"/>
              </w:rPr>
              <w:t xml:space="preserve">Ввозные таможенные пошлины, исчисленные и подлежащие уплате</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2</w:t>
            </w:r>
          </w:p>
        </w:tc>
        <w:tc>
          <w:tcPr>
            <w:tcW w:w="2357" w:type="dxa"/>
          </w:tcPr>
          <w:p>
            <w:pPr>
              <w:pStyle w:val="0"/>
            </w:pPr>
            <w:r>
              <w:rPr>
                <w:sz w:val="24"/>
              </w:rPr>
              <w:t xml:space="preserve">Бюджет субъекта Российской Федерации</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2.1</w:t>
            </w:r>
          </w:p>
        </w:tc>
        <w:tc>
          <w:tcPr>
            <w:tcW w:w="2357" w:type="dxa"/>
          </w:tcPr>
          <w:p>
            <w:pPr>
              <w:pStyle w:val="0"/>
            </w:pPr>
            <w:r>
              <w:rPr>
                <w:sz w:val="24"/>
              </w:rPr>
              <w:t xml:space="preserve">Налог на прибыль организаций</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2.2</w:t>
            </w:r>
          </w:p>
        </w:tc>
        <w:tc>
          <w:tcPr>
            <w:tcW w:w="2357" w:type="dxa"/>
          </w:tcPr>
          <w:p>
            <w:pPr>
              <w:pStyle w:val="0"/>
            </w:pPr>
            <w:r>
              <w:rPr>
                <w:sz w:val="24"/>
              </w:rPr>
              <w:t xml:space="preserve">Налог на имущество организаций</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3</w:t>
            </w:r>
          </w:p>
        </w:tc>
        <w:tc>
          <w:tcPr>
            <w:tcW w:w="2357" w:type="dxa"/>
          </w:tcPr>
          <w:p>
            <w:pPr>
              <w:pStyle w:val="0"/>
            </w:pPr>
            <w:r>
              <w:rPr>
                <w:sz w:val="24"/>
              </w:rPr>
              <w:t xml:space="preserve">Местный бюджет (если применимо)</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jc w:val="center"/>
            </w:pPr>
            <w:r>
              <w:rPr>
                <w:sz w:val="24"/>
              </w:rPr>
              <w:t xml:space="preserve">3.1</w:t>
            </w:r>
          </w:p>
        </w:tc>
        <w:tc>
          <w:tcPr>
            <w:tcW w:w="2357" w:type="dxa"/>
          </w:tcPr>
          <w:p>
            <w:pPr>
              <w:pStyle w:val="0"/>
            </w:pPr>
            <w:r>
              <w:rPr>
                <w:sz w:val="24"/>
              </w:rPr>
              <w:t xml:space="preserve">Земельный налог</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r>
        <w:tc>
          <w:tcPr>
            <w:tcW w:w="614" w:type="dxa"/>
          </w:tcPr>
          <w:p>
            <w:pPr>
              <w:pStyle w:val="0"/>
            </w:pPr>
            <w:r>
              <w:rPr>
                <w:sz w:val="24"/>
              </w:rPr>
            </w:r>
          </w:p>
        </w:tc>
        <w:tc>
          <w:tcPr>
            <w:tcW w:w="2357" w:type="dxa"/>
          </w:tcPr>
          <w:p>
            <w:pPr>
              <w:pStyle w:val="0"/>
            </w:pPr>
            <w:r>
              <w:rPr>
                <w:sz w:val="24"/>
              </w:rPr>
              <w:t xml:space="preserve">Итого</w:t>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2" w:type="dxa"/>
          </w:tcPr>
          <w:p>
            <w:pPr>
              <w:pStyle w:val="0"/>
            </w:pPr>
            <w:r>
              <w:rPr>
                <w:sz w:val="24"/>
              </w:rPr>
            </w:r>
          </w:p>
        </w:tc>
        <w:tc>
          <w:tcPr>
            <w:tcW w:w="121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Расчет объема фактически понесенных затрат на уплату процентов по кредиту (займу), полученному в рублях </w:t>
            </w:r>
            <w:hyperlink w:history="0" w:anchor="P1254" w:tooltip="&lt;9&gt; Расчет объема фактически понесенных затрат на уплату процентов по кредиту (займу), полученному в рублях, представляется отдельно в отношении каждого объекта инфраструктуры и (или) основного объекта проекта.">
              <w:r>
                <w:rPr>
                  <w:sz w:val="24"/>
                  <w:color w:val="0000ff"/>
                </w:rPr>
                <w:t xml:space="preserve">&lt;9&gt;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1602"/>
        <w:gridCol w:w="931"/>
        <w:gridCol w:w="2564"/>
        <w:gridCol w:w="776"/>
        <w:gridCol w:w="2901"/>
      </w:tblGrid>
      <w:tr>
        <w:tc>
          <w:tcPr>
            <w:gridSpan w:val="6"/>
            <w:tcW w:w="9114" w:type="dxa"/>
            <w:tcBorders>
              <w:top w:val="nil"/>
              <w:left w:val="nil"/>
              <w:bottom w:val="nil"/>
              <w:right w:val="nil"/>
            </w:tcBorders>
          </w:tcPr>
          <w:p>
            <w:pPr>
              <w:pStyle w:val="0"/>
            </w:pPr>
            <w:r>
              <w:rPr>
                <w:sz w:val="24"/>
              </w:rPr>
              <w:t xml:space="preserve">за период с "__" _______________ 20__ г. по "__" _______________ 20__ г. </w:t>
            </w:r>
            <w:hyperlink w:history="0" w:anchor="P1255" w:tooltip="&lt;10&gt; В зависимости от типа объекта указывается период в соответствии с пунктами 2(1) и 2(2) формы (для объектов инфраструктуры) или в соответствии с пунктом 2(3) формы (для основного объекта проекта).">
              <w:r>
                <w:rPr>
                  <w:sz w:val="24"/>
                  <w:color w:val="0000ff"/>
                </w:rPr>
                <w:t xml:space="preserve">&lt;10&gt;</w:t>
              </w:r>
            </w:hyperlink>
          </w:p>
        </w:tc>
      </w:tr>
      <w:tr>
        <w:tc>
          <w:tcPr>
            <w:gridSpan w:val="2"/>
            <w:tcW w:w="1942" w:type="dxa"/>
            <w:vAlign w:val="bottom"/>
            <w:tcBorders>
              <w:top w:val="nil"/>
              <w:left w:val="nil"/>
              <w:bottom w:val="nil"/>
              <w:right w:val="nil"/>
            </w:tcBorders>
          </w:tcPr>
          <w:p>
            <w:pPr>
              <w:pStyle w:val="0"/>
            </w:pPr>
            <w:r>
              <w:rPr>
                <w:sz w:val="24"/>
              </w:rPr>
              <w:t xml:space="preserve">расчетный счет</w:t>
            </w:r>
          </w:p>
        </w:tc>
        <w:tc>
          <w:tcPr>
            <w:gridSpan w:val="4"/>
            <w:tcW w:w="7172" w:type="dxa"/>
            <w:tcBorders>
              <w:top w:val="nil"/>
              <w:left w:val="nil"/>
              <w:bottom w:val="single" w:sz="4"/>
              <w:right w:val="nil"/>
            </w:tcBorders>
          </w:tcPr>
          <w:p>
            <w:pPr>
              <w:pStyle w:val="0"/>
            </w:pPr>
            <w:r>
              <w:rPr>
                <w:sz w:val="24"/>
              </w:rPr>
            </w:r>
          </w:p>
        </w:tc>
      </w:tr>
      <w:tr>
        <w:tc>
          <w:tcPr>
            <w:tcW w:w="340" w:type="dxa"/>
            <w:vAlign w:val="bottom"/>
            <w:tcBorders>
              <w:top w:val="nil"/>
              <w:left w:val="nil"/>
              <w:bottom w:val="nil"/>
              <w:right w:val="nil"/>
            </w:tcBorders>
          </w:tcPr>
          <w:p>
            <w:pPr>
              <w:pStyle w:val="0"/>
            </w:pPr>
            <w:r>
              <w:rPr>
                <w:sz w:val="24"/>
              </w:rPr>
              <w:t xml:space="preserve">в</w:t>
            </w:r>
          </w:p>
        </w:tc>
        <w:tc>
          <w:tcPr>
            <w:gridSpan w:val="3"/>
            <w:tcW w:w="5097" w:type="dxa"/>
            <w:tcBorders>
              <w:top w:val="nil"/>
              <w:left w:val="nil"/>
              <w:bottom w:val="single" w:sz="4"/>
              <w:right w:val="nil"/>
            </w:tcBorders>
          </w:tcPr>
          <w:p>
            <w:pPr>
              <w:pStyle w:val="0"/>
            </w:pPr>
            <w:r>
              <w:rPr>
                <w:sz w:val="24"/>
              </w:rPr>
            </w:r>
          </w:p>
        </w:tc>
        <w:tc>
          <w:tcPr>
            <w:tcW w:w="776" w:type="dxa"/>
            <w:vAlign w:val="bottom"/>
            <w:tcBorders>
              <w:top w:val="single" w:sz="4"/>
              <w:left w:val="nil"/>
              <w:bottom w:val="nil"/>
              <w:right w:val="nil"/>
            </w:tcBorders>
          </w:tcPr>
          <w:p>
            <w:pPr>
              <w:pStyle w:val="0"/>
              <w:jc w:val="both"/>
            </w:pPr>
            <w:r>
              <w:rPr>
                <w:sz w:val="24"/>
              </w:rPr>
              <w:t xml:space="preserve">, БИК</w:t>
            </w:r>
          </w:p>
        </w:tc>
        <w:tc>
          <w:tcPr>
            <w:tcW w:w="2901" w:type="dxa"/>
            <w:tcBorders>
              <w:top w:val="single" w:sz="4"/>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3"/>
            <w:tcW w:w="5097" w:type="dxa"/>
            <w:tcBorders>
              <w:top w:val="single" w:sz="4"/>
              <w:left w:val="nil"/>
              <w:bottom w:val="nil"/>
              <w:right w:val="nil"/>
            </w:tcBorders>
          </w:tcPr>
          <w:p>
            <w:pPr>
              <w:pStyle w:val="0"/>
              <w:jc w:val="center"/>
            </w:pPr>
            <w:r>
              <w:rPr>
                <w:sz w:val="24"/>
              </w:rPr>
              <w:t xml:space="preserve">(наименование кредитной организации, заимодавец)</w:t>
            </w:r>
          </w:p>
        </w:tc>
        <w:tc>
          <w:tcPr>
            <w:tcW w:w="776" w:type="dxa"/>
            <w:tcBorders>
              <w:top w:val="nil"/>
              <w:left w:val="nil"/>
              <w:bottom w:val="nil"/>
              <w:right w:val="nil"/>
            </w:tcBorders>
          </w:tcPr>
          <w:p>
            <w:pPr>
              <w:pStyle w:val="0"/>
            </w:pPr>
            <w:r>
              <w:rPr>
                <w:sz w:val="24"/>
              </w:rPr>
            </w:r>
          </w:p>
        </w:tc>
        <w:tc>
          <w:tcPr>
            <w:tcW w:w="2901" w:type="dxa"/>
            <w:tcBorders>
              <w:top w:val="single" w:sz="4"/>
              <w:left w:val="nil"/>
              <w:bottom w:val="nil"/>
              <w:right w:val="nil"/>
            </w:tcBorders>
          </w:tcPr>
          <w:p>
            <w:pPr>
              <w:pStyle w:val="0"/>
            </w:pPr>
            <w:r>
              <w:rPr>
                <w:sz w:val="24"/>
              </w:rPr>
            </w:r>
          </w:p>
        </w:tc>
      </w:tr>
      <w:tr>
        <w:tc>
          <w:tcPr>
            <w:gridSpan w:val="3"/>
            <w:tcW w:w="2873" w:type="dxa"/>
            <w:vAlign w:val="bottom"/>
            <w:tcBorders>
              <w:top w:val="nil"/>
              <w:left w:val="nil"/>
              <w:bottom w:val="nil"/>
              <w:right w:val="nil"/>
            </w:tcBorders>
          </w:tcPr>
          <w:p>
            <w:pPr>
              <w:pStyle w:val="0"/>
            </w:pPr>
            <w:r>
              <w:rPr>
                <w:sz w:val="24"/>
              </w:rPr>
              <w:t xml:space="preserve">корреспондентский счет</w:t>
            </w:r>
          </w:p>
        </w:tc>
        <w:tc>
          <w:tcPr>
            <w:gridSpan w:val="3"/>
            <w:tcW w:w="6241" w:type="dxa"/>
            <w:tcBorders>
              <w:top w:val="nil"/>
              <w:left w:val="nil"/>
              <w:bottom w:val="single" w:sz="4"/>
              <w:right w:val="nil"/>
            </w:tcBorders>
          </w:tcPr>
          <w:p>
            <w:pPr>
              <w:pStyle w:val="0"/>
            </w:pPr>
            <w:r>
              <w:rPr>
                <w:sz w:val="24"/>
              </w:rPr>
            </w:r>
          </w:p>
        </w:tc>
      </w:tr>
      <w:tr>
        <w:tc>
          <w:tcPr>
            <w:gridSpan w:val="6"/>
            <w:tcW w:w="9114" w:type="dxa"/>
            <w:tcBorders>
              <w:top w:val="nil"/>
              <w:left w:val="nil"/>
              <w:bottom w:val="nil"/>
              <w:right w:val="nil"/>
            </w:tcBorders>
          </w:tcPr>
          <w:p>
            <w:pPr>
              <w:pStyle w:val="0"/>
            </w:pPr>
            <w:r>
              <w:rPr>
                <w:sz w:val="24"/>
              </w:rPr>
              <w:t xml:space="preserve">кредитный договор (договор займа) N _____ от "__" __________________ 20__ г.</w:t>
            </w:r>
          </w:p>
        </w:tc>
      </w:tr>
      <w:tr>
        <w:tc>
          <w:tcPr>
            <w:tcW w:w="340" w:type="dxa"/>
            <w:tcBorders>
              <w:top w:val="nil"/>
              <w:left w:val="nil"/>
              <w:bottom w:val="nil"/>
              <w:right w:val="nil"/>
            </w:tcBorders>
          </w:tcPr>
          <w:p>
            <w:pPr>
              <w:pStyle w:val="0"/>
            </w:pPr>
            <w:r>
              <w:rPr>
                <w:sz w:val="24"/>
              </w:rPr>
              <w:t xml:space="preserve">в</w:t>
            </w:r>
          </w:p>
        </w:tc>
        <w:tc>
          <w:tcPr>
            <w:gridSpan w:val="5"/>
            <w:tcW w:w="877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5"/>
            <w:tcW w:w="8774" w:type="dxa"/>
            <w:tcBorders>
              <w:top w:val="single" w:sz="4"/>
              <w:left w:val="nil"/>
              <w:bottom w:val="nil"/>
              <w:right w:val="nil"/>
            </w:tcBorders>
          </w:tcPr>
          <w:p>
            <w:pPr>
              <w:pStyle w:val="0"/>
              <w:jc w:val="center"/>
            </w:pPr>
            <w:r>
              <w:rPr>
                <w:sz w:val="24"/>
              </w:rPr>
              <w:t xml:space="preserve">(наименование кредитной организации, заимодавец)</w:t>
            </w:r>
          </w:p>
        </w:tc>
      </w:tr>
      <w:tr>
        <w:tc>
          <w:tcPr>
            <w:gridSpan w:val="6"/>
            <w:tcW w:w="9114" w:type="dxa"/>
            <w:tcBorders>
              <w:top w:val="nil"/>
              <w:left w:val="nil"/>
              <w:bottom w:val="nil"/>
              <w:right w:val="nil"/>
            </w:tcBorders>
          </w:tcPr>
          <w:p>
            <w:pPr>
              <w:pStyle w:val="0"/>
              <w:ind w:firstLine="283"/>
              <w:jc w:val="both"/>
            </w:pPr>
            <w:r>
              <w:rPr>
                <w:sz w:val="24"/>
              </w:rPr>
              <w:t xml:space="preserve">1. Тип объекта: объект инфраструктуры/основной объект проекта</w:t>
            </w:r>
          </w:p>
        </w:tc>
      </w:tr>
      <w:tr>
        <w:tc>
          <w:tcPr>
            <w:gridSpan w:val="6"/>
            <w:tcW w:w="9114" w:type="dxa"/>
            <w:tcBorders>
              <w:top w:val="nil"/>
              <w:left w:val="nil"/>
              <w:bottom w:val="single" w:sz="4"/>
              <w:right w:val="nil"/>
            </w:tcBorders>
          </w:tcPr>
          <w:p>
            <w:pPr>
              <w:pStyle w:val="0"/>
            </w:pPr>
            <w:r>
              <w:rPr>
                <w:sz w:val="24"/>
              </w:rPr>
            </w:r>
          </w:p>
        </w:tc>
      </w:tr>
      <w:tr>
        <w:tblPrEx>
          <w:tblBorders>
            <w:insideH w:val="single" w:sz="4"/>
          </w:tblBorders>
        </w:tblPrEx>
        <w:tc>
          <w:tcPr>
            <w:gridSpan w:val="6"/>
            <w:tcW w:w="9114" w:type="dxa"/>
            <w:tcBorders>
              <w:top w:val="single" w:sz="4"/>
              <w:left w:val="nil"/>
              <w:bottom w:val="single" w:sz="4"/>
              <w:right w:val="nil"/>
            </w:tcBorders>
          </w:tcPr>
          <w:p>
            <w:pPr>
              <w:pStyle w:val="0"/>
            </w:pPr>
            <w:r>
              <w:rPr>
                <w:sz w:val="24"/>
              </w:rPr>
            </w:r>
          </w:p>
        </w:tc>
      </w:tr>
      <w:tr>
        <w:tc>
          <w:tcPr>
            <w:gridSpan w:val="6"/>
            <w:tcW w:w="9114" w:type="dxa"/>
            <w:tcBorders>
              <w:top w:val="single" w:sz="4"/>
              <w:left w:val="nil"/>
              <w:bottom w:val="nil"/>
              <w:right w:val="nil"/>
            </w:tcBorders>
          </w:tcPr>
          <w:p>
            <w:pPr>
              <w:pStyle w:val="0"/>
              <w:ind w:firstLine="283"/>
              <w:jc w:val="both"/>
            </w:pPr>
            <w:r>
              <w:rPr>
                <w:sz w:val="24"/>
              </w:rPr>
              <w:t xml:space="preserve">2. Тип объекта инфраструктуры: объект обеспечивающей/сопутствующей инфраструктуры (если применимо) 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3. Наименование объекта 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4. Цель предоставления кредита (займа) (в соответствии с кредитным договором (договором займа) 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5. Дата предоставления кредита (займа) ______________________________________</w:t>
            </w:r>
          </w:p>
        </w:tc>
      </w:tr>
      <w:tr>
        <w:tc>
          <w:tcPr>
            <w:gridSpan w:val="6"/>
            <w:tcW w:w="9114" w:type="dxa"/>
            <w:vAlign w:val="bottom"/>
            <w:tcBorders>
              <w:top w:val="nil"/>
              <w:left w:val="nil"/>
              <w:bottom w:val="nil"/>
              <w:right w:val="nil"/>
            </w:tcBorders>
          </w:tcPr>
          <w:p>
            <w:pPr>
              <w:pStyle w:val="0"/>
              <w:ind w:firstLine="283"/>
              <w:jc w:val="both"/>
            </w:pPr>
            <w:r>
              <w:rPr>
                <w:sz w:val="24"/>
              </w:rPr>
              <w:t xml:space="preserve">6. Срок погашения кредита (займа) по кредитному договору (договору займа) __________________________________________________________________________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7. Сумма полученного кредита (займа) _______________________________________</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20"/>
        <w:gridCol w:w="1191"/>
        <w:gridCol w:w="794"/>
        <w:gridCol w:w="1587"/>
        <w:gridCol w:w="2835"/>
        <w:gridCol w:w="2891"/>
        <w:gridCol w:w="2211"/>
      </w:tblGrid>
      <w:tr>
        <w:tblPrEx>
          <w:tblBorders>
            <w:insideH w:val="nil"/>
          </w:tblBorders>
        </w:tblPrEx>
        <w:tc>
          <w:tcPr>
            <w:tcW w:w="1077" w:type="dxa"/>
            <w:vMerge w:val="restart"/>
          </w:tcPr>
          <w:p>
            <w:pPr>
              <w:pStyle w:val="0"/>
              <w:jc w:val="center"/>
            </w:pPr>
            <w:r>
              <w:rPr>
                <w:sz w:val="24"/>
              </w:rPr>
              <w:t xml:space="preserve">Фактическая дата уплаты процентов по кредиту (займу)</w:t>
            </w:r>
          </w:p>
        </w:tc>
        <w:tc>
          <w:tcPr>
            <w:tcW w:w="1020" w:type="dxa"/>
            <w:vMerge w:val="restart"/>
          </w:tcPr>
          <w:p>
            <w:pPr>
              <w:pStyle w:val="0"/>
              <w:jc w:val="center"/>
            </w:pPr>
            <w:r>
              <w:rPr>
                <w:sz w:val="24"/>
              </w:rPr>
              <w:t xml:space="preserve">Остаток ссудной задолженности на конец расчетного периода, рублей </w:t>
            </w:r>
            <w:hyperlink w:history="0" w:anchor="P1256" w:tooltip="&lt;11&gt; Без учета задолженности по кредитам (займам) и процентов по ним, уплаченным с нарушением установленного графика.">
              <w:r>
                <w:rPr>
                  <w:sz w:val="24"/>
                  <w:color w:val="0000ff"/>
                </w:rPr>
                <w:t xml:space="preserve">&lt;11&gt;</w:t>
              </w:r>
            </w:hyperlink>
          </w:p>
        </w:tc>
        <w:tc>
          <w:tcPr>
            <w:tcW w:w="1191" w:type="dxa"/>
            <w:vMerge w:val="restart"/>
          </w:tcPr>
          <w:p>
            <w:pPr>
              <w:pStyle w:val="0"/>
              <w:jc w:val="center"/>
            </w:pPr>
            <w:r>
              <w:rPr>
                <w:sz w:val="24"/>
              </w:rPr>
              <w:t xml:space="preserve">Количество дней пользования кредитом (займом) в расчетный период </w:t>
            </w:r>
            <w:hyperlink w:history="0" w:anchor="P1257" w:tooltip="&lt;12&gt; Расчетный период - период, в котором показатели, указанные в графах 2, 4 и 5, неизменны.">
              <w:r>
                <w:rPr>
                  <w:sz w:val="24"/>
                  <w:color w:val="0000ff"/>
                </w:rPr>
                <w:t xml:space="preserve">&lt;12&gt;</w:t>
              </w:r>
            </w:hyperlink>
          </w:p>
        </w:tc>
        <w:tc>
          <w:tcPr>
            <w:tcW w:w="794" w:type="dxa"/>
            <w:vMerge w:val="restart"/>
          </w:tcPr>
          <w:p>
            <w:pPr>
              <w:pStyle w:val="0"/>
              <w:jc w:val="center"/>
            </w:pPr>
            <w:r>
              <w:rPr>
                <w:sz w:val="24"/>
              </w:rPr>
              <w:t xml:space="preserve">Процентная ставка по кредиту (займу)</w:t>
            </w:r>
          </w:p>
        </w:tc>
        <w:tc>
          <w:tcPr>
            <w:tcW w:w="1587" w:type="dxa"/>
            <w:vMerge w:val="restart"/>
          </w:tcPr>
          <w:p>
            <w:pPr>
              <w:pStyle w:val="0"/>
              <w:jc w:val="center"/>
            </w:pPr>
            <w:r>
              <w:rPr>
                <w:sz w:val="24"/>
              </w:rPr>
              <w:t xml:space="preserve">Ключевая ставка Центрального банка Российской Федерации на дату уплаты процентов по кредиту (займу)</w:t>
            </w:r>
          </w:p>
        </w:tc>
        <w:tc>
          <w:tcPr>
            <w:tcW w:w="2835" w:type="dxa"/>
            <w:tcBorders>
              <w:bottom w:val="nil"/>
            </w:tcBorders>
          </w:tcPr>
          <w:p>
            <w:pPr>
              <w:pStyle w:val="0"/>
              <w:jc w:val="center"/>
            </w:pPr>
            <w:r>
              <w:rPr>
                <w:sz w:val="24"/>
              </w:rPr>
              <w:t xml:space="preserve">Объем затрат (рублей)</w:t>
            </w:r>
          </w:p>
        </w:tc>
        <w:tc>
          <w:tcPr>
            <w:tcW w:w="2891" w:type="dxa"/>
            <w:tcBorders>
              <w:bottom w:val="nil"/>
            </w:tcBorders>
            <w:vMerge w:val="restart"/>
          </w:tcPr>
          <w:p>
            <w:pPr>
              <w:pStyle w:val="0"/>
              <w:jc w:val="center"/>
            </w:pPr>
            <w:r>
              <w:rPr>
                <w:sz w:val="24"/>
              </w:rPr>
              <w:t xml:space="preserve">Расчетный объем затрат (рублей)</w:t>
            </w:r>
          </w:p>
        </w:tc>
        <w:tc>
          <w:tcPr>
            <w:tcW w:w="2211" w:type="dxa"/>
            <w:vMerge w:val="restart"/>
          </w:tcPr>
          <w:p>
            <w:pPr>
              <w:pStyle w:val="0"/>
              <w:jc w:val="center"/>
            </w:pPr>
            <w:r>
              <w:rPr>
                <w:sz w:val="24"/>
              </w:rPr>
              <w:t xml:space="preserve">Объем фактически понесенных затрат на уплату процентов по кредитам и займам (минимальное значение из величин, указанных в </w:t>
            </w:r>
            <w:hyperlink w:history="0" w:anchor="P998" w:tooltip="6">
              <w:r>
                <w:rPr>
                  <w:sz w:val="24"/>
                  <w:color w:val="0000ff"/>
                </w:rPr>
                <w:t xml:space="preserve">гр. 6</w:t>
              </w:r>
            </w:hyperlink>
            <w:r>
              <w:rPr>
                <w:sz w:val="24"/>
              </w:rPr>
              <w:t xml:space="preserve"> и </w:t>
            </w:r>
            <w:hyperlink w:history="0" w:anchor="P999" w:tooltip="7">
              <w:r>
                <w:rPr>
                  <w:sz w:val="24"/>
                  <w:color w:val="0000ff"/>
                </w:rPr>
                <w:t xml:space="preserve">7</w:t>
              </w:r>
            </w:hyperlink>
            <w:r>
              <w:rPr>
                <w:sz w:val="24"/>
              </w:rPr>
              <w:t xml:space="preserve">), рублей</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2835" w:type="dxa"/>
            <w:tcBorders>
              <w:top w:val="nil"/>
            </w:tcBorders>
            <w:vMerge w:val="restart"/>
          </w:tcPr>
          <w:p>
            <w:pPr>
              <w:pStyle w:val="0"/>
              <w:jc w:val="center"/>
            </w:pPr>
            <w:r>
              <w:rPr>
                <w:position w:val="-27"/>
              </w:rPr>
              <w:drawing>
                <wp:inline distT="0" distB="0" distL="0" distR="0">
                  <wp:extent cx="16116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611630" cy="502920"/>
                          </a:xfrm>
                          <a:prstGeom prst="rect">
                            <a:avLst/>
                          </a:prstGeom>
                          <a:noFill/>
                          <a:ln>
                            <a:noFill/>
                          </a:ln>
                        </pic:spPr>
                      </pic:pic>
                    </a:graphicData>
                  </a:graphic>
                </wp:inline>
              </w:drawing>
            </w:r>
          </w:p>
        </w:tc>
        <w:tc>
          <w:tcPr>
            <w:tcBorders>
              <w:bottom w:val="nil"/>
            </w:tcBorders>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Borders>
              <w:top w:val="nil"/>
            </w:tcBorders>
            <w:vMerge w:val="continue"/>
          </w:tcPr>
          <w:p/>
        </w:tc>
        <w:tc>
          <w:tcPr>
            <w:tcW w:w="2891" w:type="dxa"/>
            <w:tcBorders>
              <w:top w:val="nil"/>
            </w:tcBorders>
          </w:tcPr>
          <w:p>
            <w:pPr>
              <w:pStyle w:val="0"/>
              <w:jc w:val="center"/>
            </w:pPr>
            <w:r>
              <w:rPr>
                <w:position w:val="-23"/>
              </w:rPr>
              <w:drawing>
                <wp:inline distT="0" distB="0" distL="0" distR="0">
                  <wp:extent cx="1757045" cy="451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757045" cy="451485"/>
                          </a:xfrm>
                          <a:prstGeom prst="rect">
                            <a:avLst/>
                          </a:prstGeom>
                          <a:noFill/>
                          <a:ln>
                            <a:noFill/>
                          </a:ln>
                        </pic:spPr>
                      </pic:pic>
                    </a:graphicData>
                  </a:graphic>
                </wp:inline>
              </w:drawing>
            </w:r>
          </w:p>
        </w:tc>
        <w:tc>
          <w:tcPr>
            <w:vMerge w:val="continue"/>
          </w:tcPr>
          <w:p/>
        </w:tc>
      </w:tr>
      <w:tr>
        <w:tc>
          <w:tcPr>
            <w:tcW w:w="1077" w:type="dxa"/>
          </w:tcPr>
          <w:p>
            <w:pPr>
              <w:pStyle w:val="0"/>
              <w:jc w:val="center"/>
            </w:pPr>
            <w:r>
              <w:rPr>
                <w:sz w:val="24"/>
              </w:rPr>
              <w:t xml:space="preserve">1</w:t>
            </w:r>
          </w:p>
        </w:tc>
        <w:tc>
          <w:tcPr>
            <w:tcW w:w="1020" w:type="dxa"/>
          </w:tcPr>
          <w:bookmarkStart w:id="994" w:name="P994"/>
          <w:bookmarkEnd w:id="994"/>
          <w:p>
            <w:pPr>
              <w:pStyle w:val="0"/>
              <w:jc w:val="center"/>
            </w:pPr>
            <w:r>
              <w:rPr>
                <w:sz w:val="24"/>
              </w:rPr>
              <w:t xml:space="preserve">2</w:t>
            </w:r>
          </w:p>
        </w:tc>
        <w:tc>
          <w:tcPr>
            <w:tcW w:w="1191" w:type="dxa"/>
          </w:tcPr>
          <w:p>
            <w:pPr>
              <w:pStyle w:val="0"/>
              <w:jc w:val="center"/>
            </w:pPr>
            <w:r>
              <w:rPr>
                <w:sz w:val="24"/>
              </w:rPr>
              <w:t xml:space="preserve">3</w:t>
            </w:r>
          </w:p>
        </w:tc>
        <w:tc>
          <w:tcPr>
            <w:tcW w:w="794" w:type="dxa"/>
          </w:tcPr>
          <w:bookmarkStart w:id="996" w:name="P996"/>
          <w:bookmarkEnd w:id="996"/>
          <w:p>
            <w:pPr>
              <w:pStyle w:val="0"/>
              <w:jc w:val="center"/>
            </w:pPr>
            <w:r>
              <w:rPr>
                <w:sz w:val="24"/>
              </w:rPr>
              <w:t xml:space="preserve">4</w:t>
            </w:r>
          </w:p>
        </w:tc>
        <w:tc>
          <w:tcPr>
            <w:tcW w:w="1587" w:type="dxa"/>
          </w:tcPr>
          <w:bookmarkStart w:id="997" w:name="P997"/>
          <w:bookmarkEnd w:id="997"/>
          <w:p>
            <w:pPr>
              <w:pStyle w:val="0"/>
              <w:jc w:val="center"/>
            </w:pPr>
            <w:r>
              <w:rPr>
                <w:sz w:val="24"/>
              </w:rPr>
              <w:t xml:space="preserve">5</w:t>
            </w:r>
          </w:p>
        </w:tc>
        <w:tc>
          <w:tcPr>
            <w:tcW w:w="2835" w:type="dxa"/>
          </w:tcPr>
          <w:bookmarkStart w:id="998" w:name="P998"/>
          <w:bookmarkEnd w:id="998"/>
          <w:p>
            <w:pPr>
              <w:pStyle w:val="0"/>
              <w:jc w:val="center"/>
            </w:pPr>
            <w:r>
              <w:rPr>
                <w:sz w:val="24"/>
              </w:rPr>
              <w:t xml:space="preserve">6</w:t>
            </w:r>
          </w:p>
        </w:tc>
        <w:tc>
          <w:tcPr>
            <w:tcW w:w="2891" w:type="dxa"/>
          </w:tcPr>
          <w:bookmarkStart w:id="999" w:name="P999"/>
          <w:bookmarkEnd w:id="999"/>
          <w:p>
            <w:pPr>
              <w:pStyle w:val="0"/>
              <w:jc w:val="center"/>
            </w:pPr>
            <w:r>
              <w:rPr>
                <w:sz w:val="24"/>
              </w:rPr>
              <w:t xml:space="preserve">7</w:t>
            </w:r>
          </w:p>
        </w:tc>
        <w:tc>
          <w:tcPr>
            <w:tcW w:w="2211" w:type="dxa"/>
          </w:tcPr>
          <w:bookmarkStart w:id="1000" w:name="P1000"/>
          <w:bookmarkEnd w:id="1000"/>
          <w:p>
            <w:pPr>
              <w:pStyle w:val="0"/>
              <w:jc w:val="center"/>
            </w:pPr>
            <w:r>
              <w:rPr>
                <w:sz w:val="24"/>
              </w:rPr>
              <w:t xml:space="preserve">8</w:t>
            </w:r>
          </w:p>
        </w:tc>
      </w:tr>
      <w:tr>
        <w:tc>
          <w:tcPr>
            <w:tcW w:w="1077"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794" w:type="dxa"/>
          </w:tcPr>
          <w:p>
            <w:pPr>
              <w:pStyle w:val="0"/>
            </w:pPr>
            <w:r>
              <w:rPr>
                <w:sz w:val="24"/>
              </w:rPr>
            </w:r>
          </w:p>
        </w:tc>
        <w:tc>
          <w:tcPr>
            <w:tcW w:w="1587" w:type="dxa"/>
          </w:tcPr>
          <w:p>
            <w:pPr>
              <w:pStyle w:val="0"/>
            </w:pPr>
            <w:r>
              <w:rPr>
                <w:sz w:val="24"/>
              </w:rPr>
            </w:r>
          </w:p>
        </w:tc>
        <w:tc>
          <w:tcPr>
            <w:tcW w:w="2835" w:type="dxa"/>
          </w:tcPr>
          <w:p>
            <w:pPr>
              <w:pStyle w:val="0"/>
            </w:pPr>
            <w:r>
              <w:rPr>
                <w:sz w:val="24"/>
              </w:rPr>
            </w:r>
          </w:p>
        </w:tc>
        <w:tc>
          <w:tcPr>
            <w:tcW w:w="2891" w:type="dxa"/>
          </w:tcPr>
          <w:p>
            <w:pPr>
              <w:pStyle w:val="0"/>
            </w:pPr>
            <w:r>
              <w:rPr>
                <w:sz w:val="24"/>
              </w:rPr>
            </w:r>
          </w:p>
        </w:tc>
        <w:tc>
          <w:tcPr>
            <w:tcW w:w="2211" w:type="dxa"/>
          </w:tcPr>
          <w:p>
            <w:pPr>
              <w:pStyle w:val="0"/>
            </w:pPr>
            <w:r>
              <w:rPr>
                <w:sz w:val="24"/>
              </w:rPr>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Объем фактически понесенных затрат </w:t>
            </w:r>
            <w:hyperlink w:history="0" w:anchor="P1258" w:tooltip="&lt;13&gt; Показатель F1, X1 или H1 в соответствии с пунктом 2(1), 2(2) или 2(3) формы в зависимости от типа объекта, указанного в пункте 1 расчета объема фактически понесенных затрат на уплату процентов по кредиту (займу), полученному в рублях.">
              <w:r>
                <w:rPr>
                  <w:sz w:val="24"/>
                  <w:color w:val="0000ff"/>
                </w:rPr>
                <w:t xml:space="preserve">&lt;13&gt;</w:t>
              </w:r>
            </w:hyperlink>
            <w:r>
              <w:rPr>
                <w:sz w:val="24"/>
              </w:rPr>
              <w:t xml:space="preserve">: _____________________ рублей (сумма показателей </w:t>
            </w:r>
            <w:hyperlink w:history="0" w:anchor="P1000" w:tooltip="8">
              <w:r>
                <w:rPr>
                  <w:sz w:val="24"/>
                  <w:color w:val="0000ff"/>
                </w:rPr>
                <w:t xml:space="preserve">графы 8</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1984"/>
        <w:gridCol w:w="340"/>
        <w:gridCol w:w="3685"/>
      </w:tblGrid>
      <w:tr>
        <w:tc>
          <w:tcPr>
            <w:tcW w:w="3061" w:type="dxa"/>
            <w:vAlign w:val="bottom"/>
            <w:tcBorders>
              <w:top w:val="nil"/>
              <w:left w:val="nil"/>
              <w:bottom w:val="nil"/>
              <w:right w:val="nil"/>
            </w:tcBorders>
          </w:tcPr>
          <w:p>
            <w:pPr>
              <w:pStyle w:val="0"/>
            </w:pPr>
            <w:r>
              <w:rPr>
                <w:sz w:val="24"/>
              </w:rPr>
              <w:t xml:space="preserve">Руководитель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Главный бухгалтер</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МП (при наличии)</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r>
        <w:tc>
          <w:tcPr>
            <w:tcW w:w="3061" w:type="dxa"/>
            <w:vAlign w:val="center"/>
            <w:tcBorders>
              <w:top w:val="nil"/>
              <w:left w:val="nil"/>
              <w:bottom w:val="nil"/>
              <w:right w:val="nil"/>
            </w:tcBorders>
          </w:tcPr>
          <w:p>
            <w:pPr>
              <w:pStyle w:val="0"/>
            </w:pPr>
            <w:r>
              <w:rPr>
                <w:sz w:val="24"/>
              </w:rPr>
              <w:t xml:space="preserve">Расчет подтверждается</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061" w:type="dxa"/>
            <w:vAlign w:val="bottom"/>
            <w:tcBorders>
              <w:top w:val="nil"/>
              <w:left w:val="nil"/>
              <w:bottom w:val="nil"/>
              <w:right w:val="nil"/>
            </w:tcBorders>
          </w:tcPr>
          <w:p>
            <w:pPr>
              <w:pStyle w:val="0"/>
            </w:pPr>
            <w:r>
              <w:rPr>
                <w:sz w:val="24"/>
              </w:rPr>
              <w:t xml:space="preserve">Уполномоченное лицо кредитной организации (иной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Расчет объема фактически понесенных затрат на уплату процентов по кредиту (займу), полученному в иностранной валюте </w:t>
            </w:r>
            <w:hyperlink w:history="0" w:anchor="P1259" w:tooltip="&lt;14&gt; Расчет объема фактически понесенных затрат на уплату процентов по кредиту и займу, полученным в иностранной валюте, представляется отдельно в отношении каждого объекта инфраструктуры и (или) основного объекта проекта.">
              <w:r>
                <w:rPr>
                  <w:sz w:val="24"/>
                  <w:color w:val="0000ff"/>
                </w:rPr>
                <w:t xml:space="preserve">&lt;14&gt;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1602"/>
        <w:gridCol w:w="931"/>
        <w:gridCol w:w="2564"/>
        <w:gridCol w:w="776"/>
        <w:gridCol w:w="2901"/>
      </w:tblGrid>
      <w:tr>
        <w:tc>
          <w:tcPr>
            <w:gridSpan w:val="6"/>
            <w:tcW w:w="9114" w:type="dxa"/>
            <w:tcBorders>
              <w:top w:val="nil"/>
              <w:left w:val="nil"/>
              <w:bottom w:val="nil"/>
              <w:right w:val="nil"/>
            </w:tcBorders>
          </w:tcPr>
          <w:p>
            <w:pPr>
              <w:pStyle w:val="0"/>
            </w:pPr>
            <w:r>
              <w:rPr>
                <w:sz w:val="24"/>
              </w:rPr>
              <w:t xml:space="preserve">за период с "__" _______________ 20__ г. по "__" _______________ 20__ г. </w:t>
            </w:r>
            <w:hyperlink w:history="0" w:anchor="P1260" w:tooltip="&lt;15&gt; В зависимости от типа объекта указывается период в соответствии с пунктами 2(1) и 2(2) формы (для объектов инфраструктуры) или в соответствии с пунктом 2(3) формы (для основного объекта проекта).">
              <w:r>
                <w:rPr>
                  <w:sz w:val="24"/>
                  <w:color w:val="0000ff"/>
                </w:rPr>
                <w:t xml:space="preserve">&lt;15&gt;</w:t>
              </w:r>
            </w:hyperlink>
          </w:p>
        </w:tc>
      </w:tr>
      <w:tr>
        <w:tc>
          <w:tcPr>
            <w:gridSpan w:val="2"/>
            <w:tcW w:w="1942" w:type="dxa"/>
            <w:vAlign w:val="bottom"/>
            <w:tcBorders>
              <w:top w:val="nil"/>
              <w:left w:val="nil"/>
              <w:bottom w:val="nil"/>
              <w:right w:val="nil"/>
            </w:tcBorders>
          </w:tcPr>
          <w:p>
            <w:pPr>
              <w:pStyle w:val="0"/>
            </w:pPr>
            <w:r>
              <w:rPr>
                <w:sz w:val="24"/>
              </w:rPr>
              <w:t xml:space="preserve">расчетный счет</w:t>
            </w:r>
          </w:p>
        </w:tc>
        <w:tc>
          <w:tcPr>
            <w:gridSpan w:val="4"/>
            <w:tcW w:w="7172" w:type="dxa"/>
            <w:tcBorders>
              <w:top w:val="nil"/>
              <w:left w:val="nil"/>
              <w:bottom w:val="single" w:sz="4"/>
              <w:right w:val="nil"/>
            </w:tcBorders>
          </w:tcPr>
          <w:p>
            <w:pPr>
              <w:pStyle w:val="0"/>
            </w:pPr>
            <w:r>
              <w:rPr>
                <w:sz w:val="24"/>
              </w:rPr>
            </w:r>
          </w:p>
        </w:tc>
      </w:tr>
      <w:tr>
        <w:tc>
          <w:tcPr>
            <w:tcW w:w="340" w:type="dxa"/>
            <w:vAlign w:val="bottom"/>
            <w:tcBorders>
              <w:top w:val="nil"/>
              <w:left w:val="nil"/>
              <w:bottom w:val="nil"/>
              <w:right w:val="nil"/>
            </w:tcBorders>
          </w:tcPr>
          <w:p>
            <w:pPr>
              <w:pStyle w:val="0"/>
            </w:pPr>
            <w:r>
              <w:rPr>
                <w:sz w:val="24"/>
              </w:rPr>
              <w:t xml:space="preserve">в</w:t>
            </w:r>
          </w:p>
        </w:tc>
        <w:tc>
          <w:tcPr>
            <w:gridSpan w:val="3"/>
            <w:tcW w:w="5097" w:type="dxa"/>
            <w:vAlign w:val="bottom"/>
            <w:tcBorders>
              <w:top w:val="nil"/>
              <w:left w:val="nil"/>
              <w:bottom w:val="single" w:sz="4"/>
              <w:right w:val="nil"/>
            </w:tcBorders>
          </w:tcPr>
          <w:p>
            <w:pPr>
              <w:pStyle w:val="0"/>
            </w:pPr>
            <w:r>
              <w:rPr>
                <w:sz w:val="24"/>
              </w:rPr>
            </w:r>
          </w:p>
        </w:tc>
        <w:tc>
          <w:tcPr>
            <w:tcW w:w="776" w:type="dxa"/>
            <w:vAlign w:val="bottom"/>
            <w:tcBorders>
              <w:top w:val="single" w:sz="4"/>
              <w:left w:val="nil"/>
              <w:bottom w:val="nil"/>
              <w:right w:val="nil"/>
            </w:tcBorders>
          </w:tcPr>
          <w:p>
            <w:pPr>
              <w:pStyle w:val="0"/>
              <w:jc w:val="both"/>
            </w:pPr>
            <w:r>
              <w:rPr>
                <w:sz w:val="24"/>
              </w:rPr>
              <w:t xml:space="preserve">, БИК</w:t>
            </w:r>
          </w:p>
        </w:tc>
        <w:tc>
          <w:tcPr>
            <w:tcW w:w="2901" w:type="dxa"/>
            <w:tcBorders>
              <w:top w:val="single" w:sz="4"/>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3"/>
            <w:tcW w:w="5097" w:type="dxa"/>
            <w:tcBorders>
              <w:top w:val="single" w:sz="4"/>
              <w:left w:val="nil"/>
              <w:bottom w:val="nil"/>
              <w:right w:val="nil"/>
            </w:tcBorders>
          </w:tcPr>
          <w:p>
            <w:pPr>
              <w:pStyle w:val="0"/>
              <w:jc w:val="center"/>
            </w:pPr>
            <w:r>
              <w:rPr>
                <w:sz w:val="24"/>
              </w:rPr>
              <w:t xml:space="preserve">(наименование кредитной организации, заимодавец)</w:t>
            </w:r>
          </w:p>
        </w:tc>
        <w:tc>
          <w:tcPr>
            <w:tcW w:w="776" w:type="dxa"/>
            <w:tcBorders>
              <w:top w:val="nil"/>
              <w:left w:val="nil"/>
              <w:bottom w:val="nil"/>
              <w:right w:val="nil"/>
            </w:tcBorders>
          </w:tcPr>
          <w:p>
            <w:pPr>
              <w:pStyle w:val="0"/>
            </w:pPr>
            <w:r>
              <w:rPr>
                <w:sz w:val="24"/>
              </w:rPr>
            </w:r>
          </w:p>
        </w:tc>
        <w:tc>
          <w:tcPr>
            <w:tcW w:w="2901" w:type="dxa"/>
            <w:tcBorders>
              <w:top w:val="single" w:sz="4"/>
              <w:left w:val="nil"/>
              <w:bottom w:val="nil"/>
              <w:right w:val="nil"/>
            </w:tcBorders>
          </w:tcPr>
          <w:p>
            <w:pPr>
              <w:pStyle w:val="0"/>
            </w:pPr>
            <w:r>
              <w:rPr>
                <w:sz w:val="24"/>
              </w:rPr>
            </w:r>
          </w:p>
        </w:tc>
      </w:tr>
      <w:tr>
        <w:tc>
          <w:tcPr>
            <w:gridSpan w:val="3"/>
            <w:tcW w:w="2873" w:type="dxa"/>
            <w:vAlign w:val="bottom"/>
            <w:tcBorders>
              <w:top w:val="nil"/>
              <w:left w:val="nil"/>
              <w:bottom w:val="nil"/>
              <w:right w:val="nil"/>
            </w:tcBorders>
          </w:tcPr>
          <w:p>
            <w:pPr>
              <w:pStyle w:val="0"/>
            </w:pPr>
            <w:r>
              <w:rPr>
                <w:sz w:val="24"/>
              </w:rPr>
              <w:t xml:space="preserve">корреспондентский счет</w:t>
            </w:r>
          </w:p>
        </w:tc>
        <w:tc>
          <w:tcPr>
            <w:gridSpan w:val="3"/>
            <w:tcW w:w="6241" w:type="dxa"/>
            <w:tcBorders>
              <w:top w:val="nil"/>
              <w:left w:val="nil"/>
              <w:bottom w:val="single" w:sz="4"/>
              <w:right w:val="nil"/>
            </w:tcBorders>
          </w:tcPr>
          <w:p>
            <w:pPr>
              <w:pStyle w:val="0"/>
            </w:pPr>
            <w:r>
              <w:rPr>
                <w:sz w:val="24"/>
              </w:rPr>
            </w:r>
          </w:p>
        </w:tc>
      </w:tr>
      <w:tr>
        <w:tc>
          <w:tcPr>
            <w:gridSpan w:val="6"/>
            <w:tcW w:w="9114" w:type="dxa"/>
            <w:tcBorders>
              <w:top w:val="nil"/>
              <w:left w:val="nil"/>
              <w:bottom w:val="nil"/>
              <w:right w:val="nil"/>
            </w:tcBorders>
          </w:tcPr>
          <w:p>
            <w:pPr>
              <w:pStyle w:val="0"/>
            </w:pPr>
            <w:r>
              <w:rPr>
                <w:sz w:val="24"/>
              </w:rPr>
              <w:t xml:space="preserve">кредитный договор (договор займа) N _____ от "__" __________________ 20__ г.</w:t>
            </w:r>
          </w:p>
        </w:tc>
      </w:tr>
      <w:tr>
        <w:tc>
          <w:tcPr>
            <w:tcW w:w="340" w:type="dxa"/>
            <w:tcBorders>
              <w:top w:val="nil"/>
              <w:left w:val="nil"/>
              <w:bottom w:val="nil"/>
              <w:right w:val="nil"/>
            </w:tcBorders>
          </w:tcPr>
          <w:p>
            <w:pPr>
              <w:pStyle w:val="0"/>
            </w:pPr>
            <w:r>
              <w:rPr>
                <w:sz w:val="24"/>
              </w:rPr>
              <w:t xml:space="preserve">в</w:t>
            </w:r>
          </w:p>
        </w:tc>
        <w:tc>
          <w:tcPr>
            <w:gridSpan w:val="5"/>
            <w:tcW w:w="877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gridSpan w:val="5"/>
            <w:tcW w:w="8774" w:type="dxa"/>
            <w:tcBorders>
              <w:top w:val="single" w:sz="4"/>
              <w:left w:val="nil"/>
              <w:bottom w:val="nil"/>
              <w:right w:val="nil"/>
            </w:tcBorders>
          </w:tcPr>
          <w:p>
            <w:pPr>
              <w:pStyle w:val="0"/>
              <w:jc w:val="center"/>
            </w:pPr>
            <w:r>
              <w:rPr>
                <w:sz w:val="24"/>
              </w:rPr>
              <w:t xml:space="preserve">(наименование кредитной организации, заимодавец)</w:t>
            </w:r>
          </w:p>
        </w:tc>
      </w:tr>
      <w:tr>
        <w:tc>
          <w:tcPr>
            <w:gridSpan w:val="6"/>
            <w:tcW w:w="9114" w:type="dxa"/>
            <w:tcBorders>
              <w:top w:val="nil"/>
              <w:left w:val="nil"/>
              <w:bottom w:val="nil"/>
              <w:right w:val="nil"/>
            </w:tcBorders>
          </w:tcPr>
          <w:p>
            <w:pPr>
              <w:pStyle w:val="0"/>
              <w:ind w:firstLine="283"/>
              <w:jc w:val="both"/>
            </w:pPr>
            <w:r>
              <w:rPr>
                <w:sz w:val="24"/>
              </w:rPr>
              <w:t xml:space="preserve">1. Тип объекта: объект инфраструктуры/основной объект проекта ___________________________________________________________________________</w:t>
            </w:r>
          </w:p>
          <w:p>
            <w:pPr>
              <w:pStyle w:val="0"/>
              <w:jc w:val="both"/>
            </w:pPr>
            <w:r>
              <w:rPr>
                <w:sz w:val="24"/>
              </w:rPr>
              <w:t xml:space="preserve">___________________________________________________________________________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2. Тип объекта инфраструктуры: обеспечивающая/сопутствующая (если применимо) ___________________________________________________________________________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3. Наименование объекта 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4. Цель предоставления кредита (займа) (в соответствии с кредитным договором (договором займа) 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5. Дата предоставления кредита (займа) ______________________________________</w:t>
            </w:r>
          </w:p>
        </w:tc>
      </w:tr>
      <w:tr>
        <w:tc>
          <w:tcPr>
            <w:gridSpan w:val="6"/>
            <w:tcW w:w="9114" w:type="dxa"/>
            <w:vAlign w:val="bottom"/>
            <w:tcBorders>
              <w:top w:val="nil"/>
              <w:left w:val="nil"/>
              <w:bottom w:val="nil"/>
              <w:right w:val="nil"/>
            </w:tcBorders>
          </w:tcPr>
          <w:p>
            <w:pPr>
              <w:pStyle w:val="0"/>
              <w:ind w:firstLine="283"/>
              <w:jc w:val="both"/>
            </w:pPr>
            <w:r>
              <w:rPr>
                <w:sz w:val="24"/>
              </w:rPr>
              <w:t xml:space="preserve">6. Срок погашения кредита (займа) по кредитному договору (договору займа) __________________________________________________________________________</w:t>
            </w:r>
          </w:p>
        </w:tc>
      </w:tr>
      <w:tr>
        <w:tc>
          <w:tcPr>
            <w:gridSpan w:val="6"/>
            <w:tcW w:w="9114" w:type="dxa"/>
            <w:tcBorders>
              <w:top w:val="nil"/>
              <w:left w:val="nil"/>
              <w:bottom w:val="nil"/>
              <w:right w:val="nil"/>
            </w:tcBorders>
          </w:tcPr>
          <w:p>
            <w:pPr>
              <w:pStyle w:val="0"/>
              <w:ind w:firstLine="283"/>
              <w:jc w:val="both"/>
            </w:pPr>
            <w:r>
              <w:rPr>
                <w:sz w:val="24"/>
              </w:rPr>
              <w:t xml:space="preserve">7. Сумма полученного кредита (займа) _______________________________________</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191"/>
        <w:gridCol w:w="907"/>
        <w:gridCol w:w="964"/>
        <w:gridCol w:w="1191"/>
        <w:gridCol w:w="1928"/>
        <w:gridCol w:w="3231"/>
        <w:gridCol w:w="4139"/>
        <w:gridCol w:w="1587"/>
      </w:tblGrid>
      <w:tr>
        <w:tblPrEx>
          <w:tblBorders>
            <w:insideH w:val="nil"/>
          </w:tblBorders>
        </w:tblPrEx>
        <w:tc>
          <w:tcPr>
            <w:tcW w:w="710" w:type="dxa"/>
            <w:vMerge w:val="restart"/>
          </w:tcPr>
          <w:p>
            <w:pPr>
              <w:pStyle w:val="0"/>
              <w:jc w:val="center"/>
            </w:pPr>
            <w:r>
              <w:rPr>
                <w:sz w:val="24"/>
              </w:rPr>
              <w:t xml:space="preserve">Фактическая дата уплаты процентов по кредиту (займу)</w:t>
            </w:r>
          </w:p>
        </w:tc>
        <w:tc>
          <w:tcPr>
            <w:tcW w:w="1191" w:type="dxa"/>
            <w:vMerge w:val="restart"/>
          </w:tcPr>
          <w:p>
            <w:pPr>
              <w:pStyle w:val="0"/>
              <w:jc w:val="center"/>
            </w:pPr>
            <w:r>
              <w:rPr>
                <w:sz w:val="24"/>
              </w:rPr>
              <w:t xml:space="preserve">Остаток ссудной задолженности на конец расчетного периода (указывается в иностранной валюте) </w:t>
            </w:r>
            <w:hyperlink w:history="0" w:anchor="P1261" w:tooltip="&lt;16&gt; Без учета задолженности по кредитам (займам) и процентам по ним, уплаченным с нарушением установленного графика.">
              <w:r>
                <w:rPr>
                  <w:sz w:val="24"/>
                  <w:color w:val="0000ff"/>
                </w:rPr>
                <w:t xml:space="preserve">&lt;16&gt;</w:t>
              </w:r>
            </w:hyperlink>
          </w:p>
        </w:tc>
        <w:tc>
          <w:tcPr>
            <w:tcW w:w="907" w:type="dxa"/>
            <w:vMerge w:val="restart"/>
          </w:tcPr>
          <w:p>
            <w:pPr>
              <w:pStyle w:val="0"/>
              <w:jc w:val="center"/>
            </w:pPr>
            <w:r>
              <w:rPr>
                <w:sz w:val="24"/>
              </w:rPr>
              <w:t xml:space="preserve">Количество дней пользования кредитом (займом) в расчетном периоде </w:t>
            </w:r>
            <w:hyperlink w:history="0" w:anchor="P1262" w:tooltip="&lt;17&gt; Расчетный период - период, в котором показатели, указанные в графах 2, 4, 5 и 6, неизменны.">
              <w:r>
                <w:rPr>
                  <w:sz w:val="24"/>
                  <w:color w:val="0000ff"/>
                </w:rPr>
                <w:t xml:space="preserve">&lt;17&gt;</w:t>
              </w:r>
            </w:hyperlink>
          </w:p>
        </w:tc>
        <w:tc>
          <w:tcPr>
            <w:tcW w:w="964" w:type="dxa"/>
            <w:vMerge w:val="restart"/>
          </w:tcPr>
          <w:p>
            <w:pPr>
              <w:pStyle w:val="0"/>
              <w:jc w:val="center"/>
            </w:pPr>
            <w:r>
              <w:rPr>
                <w:sz w:val="24"/>
              </w:rPr>
              <w:t xml:space="preserve">Процентная ставка по кредиту (займу)</w:t>
            </w:r>
          </w:p>
        </w:tc>
        <w:tc>
          <w:tcPr>
            <w:tcW w:w="1191" w:type="dxa"/>
            <w:vMerge w:val="restart"/>
          </w:tcPr>
          <w:p>
            <w:pPr>
              <w:pStyle w:val="0"/>
              <w:jc w:val="center"/>
            </w:pPr>
            <w:r>
              <w:rPr>
                <w:sz w:val="24"/>
              </w:rPr>
              <w:t xml:space="preserve">Ключевая ставка Центрального банка Российской Федерации на дату уплаты процентов по кредиту (займу)</w:t>
            </w:r>
          </w:p>
        </w:tc>
        <w:tc>
          <w:tcPr>
            <w:tcW w:w="1928" w:type="dxa"/>
            <w:vMerge w:val="restart"/>
          </w:tcPr>
          <w:p>
            <w:pPr>
              <w:pStyle w:val="0"/>
              <w:jc w:val="center"/>
            </w:pPr>
            <w:r>
              <w:rPr>
                <w:sz w:val="24"/>
              </w:rPr>
              <w:t xml:space="preserve">Курс иностранной валюты по отношению к рублю, установленный Центральным банком Российской Федерации на фактическую дату уплаты организацией процентов по кредиту (займу)</w:t>
            </w:r>
          </w:p>
        </w:tc>
        <w:tc>
          <w:tcPr>
            <w:tcW w:w="3231" w:type="dxa"/>
            <w:tcBorders>
              <w:bottom w:val="nil"/>
            </w:tcBorders>
          </w:tcPr>
          <w:p>
            <w:pPr>
              <w:pStyle w:val="0"/>
              <w:jc w:val="center"/>
            </w:pPr>
            <w:r>
              <w:rPr>
                <w:sz w:val="24"/>
              </w:rPr>
              <w:t xml:space="preserve">Объем затрат (рублей)</w:t>
            </w:r>
          </w:p>
        </w:tc>
        <w:tc>
          <w:tcPr>
            <w:tcW w:w="4139" w:type="dxa"/>
            <w:tcBorders>
              <w:bottom w:val="nil"/>
            </w:tcBorders>
            <w:vMerge w:val="restart"/>
          </w:tcPr>
          <w:p>
            <w:pPr>
              <w:pStyle w:val="0"/>
              <w:jc w:val="center"/>
            </w:pPr>
            <w:r>
              <w:rPr>
                <w:sz w:val="24"/>
              </w:rPr>
              <w:t xml:space="preserve">Расчетный объем затрат (рублей)</w:t>
            </w:r>
          </w:p>
        </w:tc>
        <w:tc>
          <w:tcPr>
            <w:tcW w:w="1587" w:type="dxa"/>
            <w:vMerge w:val="restart"/>
          </w:tcPr>
          <w:p>
            <w:pPr>
              <w:pStyle w:val="0"/>
              <w:jc w:val="center"/>
            </w:pPr>
            <w:r>
              <w:rPr>
                <w:sz w:val="24"/>
              </w:rPr>
              <w:t xml:space="preserve">Объем фактически понесенных затрат на уплату процентов по кредитам и займам (минимальное значение из величин, указанных в </w:t>
            </w:r>
            <w:hyperlink w:history="0" w:anchor="P1095" w:tooltip="7">
              <w:r>
                <w:rPr>
                  <w:sz w:val="24"/>
                  <w:color w:val="0000ff"/>
                </w:rPr>
                <w:t xml:space="preserve">гр. 7</w:t>
              </w:r>
            </w:hyperlink>
            <w:r>
              <w:rPr>
                <w:sz w:val="24"/>
              </w:rPr>
              <w:t xml:space="preserve"> и </w:t>
            </w:r>
            <w:hyperlink w:history="0" w:anchor="P1096" w:tooltip="8">
              <w:r>
                <w:rPr>
                  <w:sz w:val="24"/>
                  <w:color w:val="0000ff"/>
                </w:rPr>
                <w:t xml:space="preserve">8</w:t>
              </w:r>
            </w:hyperlink>
            <w:r>
              <w:rPr>
                <w:sz w:val="24"/>
              </w:rPr>
              <w:t xml:space="preserve">), рублей</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3231" w:type="dxa"/>
            <w:tcBorders>
              <w:top w:val="nil"/>
            </w:tcBorders>
            <w:vMerge w:val="restart"/>
          </w:tcPr>
          <w:p>
            <w:pPr>
              <w:pStyle w:val="0"/>
              <w:jc w:val="center"/>
            </w:pPr>
            <w:r>
              <w:rPr>
                <w:position w:val="-23"/>
              </w:rPr>
              <w:drawing>
                <wp:inline distT="0" distB="0" distL="0" distR="0">
                  <wp:extent cx="1972945" cy="449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972945" cy="449580"/>
                          </a:xfrm>
                          <a:prstGeom prst="rect">
                            <a:avLst/>
                          </a:prstGeom>
                          <a:noFill/>
                          <a:ln>
                            <a:noFill/>
                          </a:ln>
                        </pic:spPr>
                      </pic:pic>
                    </a:graphicData>
                  </a:graphic>
                </wp:inline>
              </w:drawing>
            </w:r>
          </w:p>
        </w:tc>
        <w:tc>
          <w:tcPr>
            <w:tcBorders>
              <w:bottom w:val="nil"/>
            </w:tcBorders>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top w:val="nil"/>
            </w:tcBorders>
            <w:vMerge w:val="continue"/>
          </w:tcPr>
          <w:p/>
        </w:tc>
        <w:tc>
          <w:tcPr>
            <w:tcW w:w="4139" w:type="dxa"/>
            <w:tcBorders>
              <w:top w:val="nil"/>
            </w:tcBorders>
          </w:tcPr>
          <w:p>
            <w:pPr>
              <w:pStyle w:val="0"/>
              <w:jc w:val="center"/>
            </w:pPr>
            <w:r>
              <w:rPr>
                <w:position w:val="-27"/>
              </w:rPr>
              <w:drawing>
                <wp:inline distT="0" distB="0" distL="0" distR="0">
                  <wp:extent cx="25488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2548890" cy="502920"/>
                          </a:xfrm>
                          <a:prstGeom prst="rect">
                            <a:avLst/>
                          </a:prstGeom>
                          <a:noFill/>
                          <a:ln>
                            <a:noFill/>
                          </a:ln>
                        </pic:spPr>
                      </pic:pic>
                    </a:graphicData>
                  </a:graphic>
                </wp:inline>
              </w:drawing>
            </w:r>
          </w:p>
        </w:tc>
        <w:tc>
          <w:tcPr>
            <w:vMerge w:val="continue"/>
          </w:tcPr>
          <w:p/>
        </w:tc>
      </w:tr>
      <w:tr>
        <w:tc>
          <w:tcPr>
            <w:tcW w:w="710" w:type="dxa"/>
          </w:tcPr>
          <w:p>
            <w:pPr>
              <w:pStyle w:val="0"/>
              <w:jc w:val="center"/>
            </w:pPr>
            <w:r>
              <w:rPr>
                <w:sz w:val="24"/>
              </w:rPr>
              <w:t xml:space="preserve">1</w:t>
            </w:r>
          </w:p>
        </w:tc>
        <w:tc>
          <w:tcPr>
            <w:tcW w:w="1191" w:type="dxa"/>
          </w:tcPr>
          <w:bookmarkStart w:id="1090" w:name="P1090"/>
          <w:bookmarkEnd w:id="1090"/>
          <w:p>
            <w:pPr>
              <w:pStyle w:val="0"/>
              <w:jc w:val="center"/>
            </w:pPr>
            <w:r>
              <w:rPr>
                <w:sz w:val="24"/>
              </w:rPr>
              <w:t xml:space="preserve">2</w:t>
            </w:r>
          </w:p>
        </w:tc>
        <w:tc>
          <w:tcPr>
            <w:tcW w:w="907" w:type="dxa"/>
          </w:tcPr>
          <w:p>
            <w:pPr>
              <w:pStyle w:val="0"/>
              <w:jc w:val="center"/>
            </w:pPr>
            <w:r>
              <w:rPr>
                <w:sz w:val="24"/>
              </w:rPr>
              <w:t xml:space="preserve">3</w:t>
            </w:r>
          </w:p>
        </w:tc>
        <w:tc>
          <w:tcPr>
            <w:tcW w:w="964" w:type="dxa"/>
          </w:tcPr>
          <w:bookmarkStart w:id="1092" w:name="P1092"/>
          <w:bookmarkEnd w:id="1092"/>
          <w:p>
            <w:pPr>
              <w:pStyle w:val="0"/>
              <w:jc w:val="center"/>
            </w:pPr>
            <w:r>
              <w:rPr>
                <w:sz w:val="24"/>
              </w:rPr>
              <w:t xml:space="preserve">4</w:t>
            </w:r>
          </w:p>
        </w:tc>
        <w:tc>
          <w:tcPr>
            <w:tcW w:w="1191" w:type="dxa"/>
          </w:tcPr>
          <w:bookmarkStart w:id="1093" w:name="P1093"/>
          <w:bookmarkEnd w:id="1093"/>
          <w:p>
            <w:pPr>
              <w:pStyle w:val="0"/>
              <w:jc w:val="center"/>
            </w:pPr>
            <w:r>
              <w:rPr>
                <w:sz w:val="24"/>
              </w:rPr>
              <w:t xml:space="preserve">5</w:t>
            </w:r>
          </w:p>
        </w:tc>
        <w:tc>
          <w:tcPr>
            <w:tcW w:w="1928" w:type="dxa"/>
          </w:tcPr>
          <w:bookmarkStart w:id="1094" w:name="P1094"/>
          <w:bookmarkEnd w:id="1094"/>
          <w:p>
            <w:pPr>
              <w:pStyle w:val="0"/>
              <w:jc w:val="center"/>
            </w:pPr>
            <w:r>
              <w:rPr>
                <w:sz w:val="24"/>
              </w:rPr>
              <w:t xml:space="preserve">6</w:t>
            </w:r>
          </w:p>
        </w:tc>
        <w:tc>
          <w:tcPr>
            <w:tcW w:w="3231" w:type="dxa"/>
          </w:tcPr>
          <w:bookmarkStart w:id="1095" w:name="P1095"/>
          <w:bookmarkEnd w:id="1095"/>
          <w:p>
            <w:pPr>
              <w:pStyle w:val="0"/>
              <w:jc w:val="center"/>
            </w:pPr>
            <w:r>
              <w:rPr>
                <w:sz w:val="24"/>
              </w:rPr>
              <w:t xml:space="preserve">7</w:t>
            </w:r>
          </w:p>
        </w:tc>
        <w:tc>
          <w:tcPr>
            <w:tcW w:w="4139" w:type="dxa"/>
          </w:tcPr>
          <w:bookmarkStart w:id="1096" w:name="P1096"/>
          <w:bookmarkEnd w:id="1096"/>
          <w:p>
            <w:pPr>
              <w:pStyle w:val="0"/>
              <w:jc w:val="center"/>
            </w:pPr>
            <w:r>
              <w:rPr>
                <w:sz w:val="24"/>
              </w:rPr>
              <w:t xml:space="preserve">8</w:t>
            </w:r>
          </w:p>
        </w:tc>
        <w:tc>
          <w:tcPr>
            <w:tcW w:w="1587" w:type="dxa"/>
          </w:tcPr>
          <w:bookmarkStart w:id="1097" w:name="P1097"/>
          <w:bookmarkEnd w:id="1097"/>
          <w:p>
            <w:pPr>
              <w:pStyle w:val="0"/>
              <w:jc w:val="center"/>
            </w:pPr>
            <w:r>
              <w:rPr>
                <w:sz w:val="24"/>
              </w:rPr>
              <w:t xml:space="preserve">9</w:t>
            </w:r>
          </w:p>
        </w:tc>
      </w:tr>
      <w:tr>
        <w:tc>
          <w:tcPr>
            <w:tcW w:w="710"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3231" w:type="dxa"/>
          </w:tcPr>
          <w:p>
            <w:pPr>
              <w:pStyle w:val="0"/>
            </w:pPr>
            <w:r>
              <w:rPr>
                <w:sz w:val="24"/>
              </w:rPr>
            </w:r>
          </w:p>
        </w:tc>
        <w:tc>
          <w:tcPr>
            <w:tcW w:w="4139" w:type="dxa"/>
          </w:tcPr>
          <w:p>
            <w:pPr>
              <w:pStyle w:val="0"/>
            </w:pPr>
            <w:r>
              <w:rPr>
                <w:sz w:val="24"/>
              </w:rPr>
            </w:r>
          </w:p>
        </w:tc>
        <w:tc>
          <w:tcPr>
            <w:tcW w:w="1587" w:type="dxa"/>
          </w:tcPr>
          <w:p>
            <w:pPr>
              <w:pStyle w:val="0"/>
            </w:pPr>
            <w:r>
              <w:rPr>
                <w:sz w:val="24"/>
              </w:rPr>
            </w:r>
          </w:p>
        </w:tc>
      </w:tr>
    </w:tbl>
    <w:p>
      <w:pPr>
        <w:sectPr>
          <w:headerReference w:type="default" r:id="rId15"/>
          <w:headerReference w:type="first" r:id="rId15"/>
          <w:footerReference w:type="default" r:id="rId16"/>
          <w:footerReference w:type="first" r:id="rId16"/>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Объем фактически понесенных затрат </w:t>
            </w:r>
            <w:hyperlink w:history="0" w:anchor="P1263" w:tooltip="&lt;18&gt; Показатель F1, X1 или H1 в соответствии с пунктом 2(1), 2(2) или 2(3) формы в зависимости от типа объекта, указанного в пункте 1 расчета объема фактически понесенных затрат на уплату процентов по кредиту (займу), полученному в иностранной валюте.">
              <w:r>
                <w:rPr>
                  <w:sz w:val="24"/>
                  <w:color w:val="0000ff"/>
                </w:rPr>
                <w:t xml:space="preserve">&lt;18&gt;</w:t>
              </w:r>
            </w:hyperlink>
            <w:r>
              <w:rPr>
                <w:sz w:val="24"/>
              </w:rPr>
              <w:t xml:space="preserve">: _____________________ рублей (сумма показателей </w:t>
            </w:r>
            <w:hyperlink w:history="0" w:anchor="P1097" w:tooltip="9">
              <w:r>
                <w:rPr>
                  <w:sz w:val="24"/>
                  <w:color w:val="0000ff"/>
                </w:rPr>
                <w:t xml:space="preserve">графы 9</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1984"/>
        <w:gridCol w:w="340"/>
        <w:gridCol w:w="3685"/>
      </w:tblGrid>
      <w:tr>
        <w:tc>
          <w:tcPr>
            <w:tcW w:w="3061" w:type="dxa"/>
            <w:vAlign w:val="bottom"/>
            <w:tcBorders>
              <w:top w:val="nil"/>
              <w:left w:val="nil"/>
              <w:bottom w:val="nil"/>
              <w:right w:val="nil"/>
            </w:tcBorders>
          </w:tcPr>
          <w:p>
            <w:pPr>
              <w:pStyle w:val="0"/>
            </w:pPr>
            <w:r>
              <w:rPr>
                <w:sz w:val="24"/>
              </w:rPr>
              <w:t xml:space="preserve">Руководитель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Главный бухгалтер</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МП (при наличии)</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r>
        <w:tc>
          <w:tcPr>
            <w:tcW w:w="3061" w:type="dxa"/>
            <w:vAlign w:val="center"/>
            <w:tcBorders>
              <w:top w:val="nil"/>
              <w:left w:val="nil"/>
              <w:bottom w:val="nil"/>
              <w:right w:val="nil"/>
            </w:tcBorders>
          </w:tcPr>
          <w:p>
            <w:pPr>
              <w:pStyle w:val="0"/>
            </w:pPr>
            <w:r>
              <w:rPr>
                <w:sz w:val="24"/>
              </w:rPr>
              <w:t xml:space="preserve">Расчет подтверждается</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061" w:type="dxa"/>
            <w:vAlign w:val="bottom"/>
            <w:tcBorders>
              <w:top w:val="nil"/>
              <w:left w:val="nil"/>
              <w:bottom w:val="nil"/>
              <w:right w:val="nil"/>
            </w:tcBorders>
          </w:tcPr>
          <w:p>
            <w:pPr>
              <w:pStyle w:val="0"/>
            </w:pPr>
            <w:r>
              <w:rPr>
                <w:sz w:val="24"/>
              </w:rPr>
              <w:t xml:space="preserve">Уполномоченное лицо кредитной организации (иной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Расчет объема фактически понесенных затрат на уплату купонного дохода по облигационным займам </w:t>
            </w:r>
            <w:hyperlink w:history="0" w:anchor="P1264" w:tooltip="&lt;19&gt; Расчет объема фактически понесенных затрат на уплату купонного дохода по облигационным займам представляется отдельно в отношении каждого объекта инфраструктуры и (или) основного проекта.">
              <w:r>
                <w:rPr>
                  <w:sz w:val="24"/>
                  <w:color w:val="0000ff"/>
                </w:rPr>
                <w:t xml:space="preserve">&lt;19&gt;</w:t>
              </w:r>
            </w:hyperlink>
          </w:p>
        </w:tc>
      </w:tr>
    </w:tbl>
    <w:p>
      <w:pPr>
        <w:pStyle w:val="0"/>
        <w:jc w:val="both"/>
      </w:pPr>
      <w:r>
        <w:rPr>
          <w:sz w:val="24"/>
        </w:rPr>
      </w:r>
    </w:p>
    <w:tbl>
      <w:tblPr>
        <w:tblInd w:w="0" w:type="dxa"/>
        <w:tblLayout w:type="fixed"/>
        <w:tblCellMar>
          <w:top w:w="102" w:type="dxa"/>
          <w:left w:w="62" w:type="dxa"/>
          <w:bottom w:w="102" w:type="dxa"/>
          <w:right w:w="62" w:type="dxa"/>
        </w:tblCellMar>
      </w:tblPr>
      <w:tblGrid>
        <w:gridCol w:w="9114"/>
      </w:tblGrid>
      <w:tr>
        <w:tc>
          <w:tcPr>
            <w:tcW w:w="9114" w:type="dxa"/>
            <w:tcBorders>
              <w:top w:val="nil"/>
              <w:left w:val="nil"/>
              <w:bottom w:val="nil"/>
              <w:right w:val="nil"/>
            </w:tcBorders>
          </w:tcPr>
          <w:p>
            <w:pPr>
              <w:pStyle w:val="0"/>
            </w:pPr>
            <w:r>
              <w:rPr>
                <w:sz w:val="24"/>
              </w:rPr>
              <w:t xml:space="preserve">за период с "__" _______________ 20__ г. по "__" _______________ 20__ г. </w:t>
            </w:r>
            <w:hyperlink w:history="0" w:anchor="P1265" w:tooltip="&lt;20&gt; В зависимости от типа объекта указывается период в соответствии с пунктами 2(1) и 2(2) формы (для объектов инфраструктуры) или в соответствии с пунктом 2(3) формы (для основного объекта проекта).">
              <w:r>
                <w:rPr>
                  <w:sz w:val="24"/>
                  <w:color w:val="0000ff"/>
                </w:rPr>
                <w:t xml:space="preserve">&lt;20&gt;</w:t>
              </w:r>
            </w:hyperlink>
          </w:p>
        </w:tc>
      </w:tr>
      <w:tr>
        <w:tc>
          <w:tcPr>
            <w:tcW w:w="9114" w:type="dxa"/>
            <w:tcBorders>
              <w:top w:val="nil"/>
              <w:left w:val="nil"/>
              <w:bottom w:val="nil"/>
              <w:right w:val="nil"/>
            </w:tcBorders>
          </w:tcPr>
          <w:p>
            <w:pPr>
              <w:pStyle w:val="0"/>
              <w:ind w:firstLine="283"/>
              <w:jc w:val="both"/>
            </w:pPr>
            <w:r>
              <w:rPr>
                <w:sz w:val="24"/>
              </w:rPr>
              <w:t xml:space="preserve">Государственный регистрационный, идентификационный и (или) регистрационный номера выпуска облигаций ___________________________________________________</w:t>
            </w:r>
          </w:p>
          <w:p>
            <w:pPr>
              <w:pStyle w:val="0"/>
              <w:jc w:val="both"/>
            </w:pPr>
            <w:r>
              <w:rPr>
                <w:sz w:val="24"/>
              </w:rPr>
              <w:t xml:space="preserve">___________________________________________________________________________</w:t>
            </w:r>
          </w:p>
        </w:tc>
      </w:tr>
      <w:tr>
        <w:tc>
          <w:tcPr>
            <w:tcW w:w="9114" w:type="dxa"/>
            <w:tcBorders>
              <w:top w:val="nil"/>
              <w:left w:val="nil"/>
              <w:bottom w:val="nil"/>
              <w:right w:val="nil"/>
            </w:tcBorders>
          </w:tcPr>
          <w:p>
            <w:pPr>
              <w:pStyle w:val="0"/>
              <w:ind w:firstLine="283"/>
              <w:jc w:val="both"/>
            </w:pPr>
            <w:r>
              <w:rPr>
                <w:sz w:val="24"/>
              </w:rPr>
              <w:t xml:space="preserve">1. Тип объекта: объект инфраструктуры/основной объект проекта ___________________________________________________________________________</w:t>
            </w:r>
          </w:p>
        </w:tc>
      </w:tr>
      <w:tr>
        <w:tc>
          <w:tcPr>
            <w:tcW w:w="9114" w:type="dxa"/>
            <w:tcBorders>
              <w:top w:val="nil"/>
              <w:left w:val="nil"/>
              <w:bottom w:val="nil"/>
              <w:right w:val="nil"/>
            </w:tcBorders>
          </w:tcPr>
          <w:p>
            <w:pPr>
              <w:pStyle w:val="0"/>
              <w:ind w:firstLine="283"/>
              <w:jc w:val="both"/>
            </w:pPr>
            <w:r>
              <w:rPr>
                <w:sz w:val="24"/>
              </w:rPr>
              <w:t xml:space="preserve">2. Тип объекта инфраструктуры: объект обеспечивающей/сопутствующей инфраструктуры (если применимо) ____________________________________________</w:t>
            </w:r>
          </w:p>
        </w:tc>
      </w:tr>
      <w:tr>
        <w:tc>
          <w:tcPr>
            <w:tcW w:w="9114" w:type="dxa"/>
            <w:tcBorders>
              <w:top w:val="nil"/>
              <w:left w:val="nil"/>
              <w:bottom w:val="nil"/>
              <w:right w:val="nil"/>
            </w:tcBorders>
          </w:tcPr>
          <w:p>
            <w:pPr>
              <w:pStyle w:val="0"/>
              <w:ind w:firstLine="283"/>
              <w:jc w:val="both"/>
            </w:pPr>
            <w:r>
              <w:rPr>
                <w:sz w:val="24"/>
              </w:rPr>
              <w:t xml:space="preserve">3. Наименование объекта __________________________________________________</w:t>
            </w:r>
          </w:p>
        </w:tc>
      </w:tr>
      <w:tr>
        <w:tc>
          <w:tcPr>
            <w:tcW w:w="9114" w:type="dxa"/>
            <w:tcBorders>
              <w:top w:val="nil"/>
              <w:left w:val="nil"/>
              <w:bottom w:val="nil"/>
              <w:right w:val="nil"/>
            </w:tcBorders>
          </w:tcPr>
          <w:p>
            <w:pPr>
              <w:pStyle w:val="0"/>
              <w:ind w:firstLine="283"/>
              <w:jc w:val="both"/>
            </w:pPr>
            <w:r>
              <w:rPr>
                <w:sz w:val="24"/>
              </w:rPr>
              <w:t xml:space="preserve">4. Цель облигационного займа в соответствии с проспектом эмиссии: ___________________________________________________________________________</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5"/>
        <w:gridCol w:w="1644"/>
        <w:gridCol w:w="1191"/>
        <w:gridCol w:w="907"/>
        <w:gridCol w:w="883"/>
        <w:gridCol w:w="2891"/>
        <w:gridCol w:w="1701"/>
        <w:gridCol w:w="3912"/>
        <w:gridCol w:w="1587"/>
      </w:tblGrid>
      <w:tr>
        <w:tc>
          <w:tcPr>
            <w:tcW w:w="845" w:type="dxa"/>
          </w:tcPr>
          <w:p>
            <w:pPr>
              <w:pStyle w:val="0"/>
              <w:jc w:val="center"/>
            </w:pPr>
            <w:r>
              <w:rPr>
                <w:sz w:val="24"/>
              </w:rPr>
              <w:t xml:space="preserve">Порядковый номер купонного периода</w:t>
            </w:r>
          </w:p>
        </w:tc>
        <w:tc>
          <w:tcPr>
            <w:tcW w:w="1644" w:type="dxa"/>
          </w:tcPr>
          <w:p>
            <w:pPr>
              <w:pStyle w:val="0"/>
              <w:jc w:val="center"/>
            </w:pPr>
            <w:r>
              <w:rPr>
                <w:sz w:val="24"/>
              </w:rPr>
              <w:t xml:space="preserve">Непогашенная часть номинальной стоимости на дату окончания купонного периода, рублей</w:t>
            </w:r>
          </w:p>
        </w:tc>
        <w:tc>
          <w:tcPr>
            <w:tcW w:w="1191" w:type="dxa"/>
          </w:tcPr>
          <w:p>
            <w:pPr>
              <w:pStyle w:val="0"/>
              <w:jc w:val="center"/>
            </w:pPr>
            <w:r>
              <w:rPr>
                <w:sz w:val="24"/>
              </w:rPr>
              <w:t xml:space="preserve">Величина процентной ставки купонного дохода, процентов годовых</w:t>
            </w:r>
          </w:p>
        </w:tc>
        <w:tc>
          <w:tcPr>
            <w:tcW w:w="907" w:type="dxa"/>
          </w:tcPr>
          <w:p>
            <w:pPr>
              <w:pStyle w:val="0"/>
              <w:jc w:val="center"/>
            </w:pPr>
            <w:r>
              <w:rPr>
                <w:sz w:val="24"/>
              </w:rPr>
              <w:t xml:space="preserve">Дата окончания купонного периода</w:t>
            </w:r>
          </w:p>
        </w:tc>
        <w:tc>
          <w:tcPr>
            <w:tcW w:w="883" w:type="dxa"/>
          </w:tcPr>
          <w:p>
            <w:pPr>
              <w:pStyle w:val="0"/>
              <w:jc w:val="center"/>
            </w:pPr>
            <w:r>
              <w:rPr>
                <w:sz w:val="24"/>
              </w:rPr>
              <w:t xml:space="preserve">Количество календарных дней в купонном периоде</w:t>
            </w:r>
          </w:p>
        </w:tc>
        <w:tc>
          <w:tcPr>
            <w:tcW w:w="2891" w:type="dxa"/>
          </w:tcPr>
          <w:p>
            <w:pPr>
              <w:pStyle w:val="0"/>
              <w:jc w:val="center"/>
            </w:pPr>
            <w:r>
              <w:rPr>
                <w:sz w:val="24"/>
              </w:rPr>
              <w:t xml:space="preserve">Сумма уплаченного купонного дохода по состоянию на дату окончания купонного периода (рублей)</w:t>
            </w:r>
          </w:p>
          <w:p>
            <w:pPr>
              <w:pStyle w:val="0"/>
              <w:jc w:val="center"/>
            </w:pPr>
            <w:r>
              <w:rPr>
                <w:position w:val="-26"/>
              </w:rPr>
              <w:drawing>
                <wp:inline distT="0" distB="0" distL="0" distR="0">
                  <wp:extent cx="1757045" cy="494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757045" cy="494030"/>
                          </a:xfrm>
                          <a:prstGeom prst="rect">
                            <a:avLst/>
                          </a:prstGeom>
                          <a:noFill/>
                          <a:ln>
                            <a:noFill/>
                          </a:ln>
                        </pic:spPr>
                      </pic:pic>
                    </a:graphicData>
                  </a:graphic>
                </wp:inline>
              </w:drawing>
            </w:r>
          </w:p>
        </w:tc>
        <w:tc>
          <w:tcPr>
            <w:tcW w:w="1701" w:type="dxa"/>
          </w:tcPr>
          <w:p>
            <w:pPr>
              <w:pStyle w:val="0"/>
              <w:jc w:val="center"/>
            </w:pPr>
            <w:r>
              <w:rPr>
                <w:sz w:val="24"/>
              </w:rPr>
              <w:t xml:space="preserve">Базовый индикатор </w:t>
            </w:r>
            <w:hyperlink w:history="0" w:anchor="P1266" w:tooltip="&lt;21&gt; Рассчитывается в соответствии с постановлением Правительства Российской Федерации от 20 июля 2016 г. N 702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quot;.">
              <w:r>
                <w:rPr>
                  <w:sz w:val="24"/>
                  <w:color w:val="0000ff"/>
                </w:rPr>
                <w:t xml:space="preserve">&lt;21&gt;</w:t>
              </w:r>
            </w:hyperlink>
            <w:r>
              <w:rPr>
                <w:sz w:val="24"/>
              </w:rPr>
              <w:t xml:space="preserve"> по состоянию на дату окончания купонного периода</w:t>
            </w:r>
          </w:p>
        </w:tc>
        <w:tc>
          <w:tcPr>
            <w:tcW w:w="3912" w:type="dxa"/>
          </w:tcPr>
          <w:p>
            <w:pPr>
              <w:pStyle w:val="0"/>
              <w:jc w:val="center"/>
            </w:pPr>
            <w:r>
              <w:rPr>
                <w:sz w:val="24"/>
              </w:rPr>
              <w:t xml:space="preserve">Норматив возмещения затрат из расчета 70% базового индикатора</w:t>
            </w:r>
          </w:p>
          <w:p>
            <w:pPr>
              <w:pStyle w:val="0"/>
              <w:jc w:val="center"/>
            </w:pPr>
            <w:r>
              <w:rPr>
                <w:position w:val="-28"/>
              </w:rPr>
              <w:drawing>
                <wp:inline distT="0" distB="0" distL="0" distR="0">
                  <wp:extent cx="22974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297430" cy="514350"/>
                          </a:xfrm>
                          <a:prstGeom prst="rect">
                            <a:avLst/>
                          </a:prstGeom>
                          <a:noFill/>
                          <a:ln>
                            <a:noFill/>
                          </a:ln>
                        </pic:spPr>
                      </pic:pic>
                    </a:graphicData>
                  </a:graphic>
                </wp:inline>
              </w:drawing>
            </w:r>
            <w:r>
              <w:rPr>
                <w:sz w:val="24"/>
              </w:rPr>
              <w:t xml:space="preserve">, рублей</w:t>
            </w:r>
          </w:p>
        </w:tc>
        <w:tc>
          <w:tcPr>
            <w:tcW w:w="1587" w:type="dxa"/>
          </w:tcPr>
          <w:p>
            <w:pPr>
              <w:pStyle w:val="0"/>
              <w:jc w:val="center"/>
            </w:pPr>
            <w:r>
              <w:rPr>
                <w:sz w:val="24"/>
              </w:rPr>
              <w:t xml:space="preserve">Объем фактически понесенных затрат (минимальная из величин в </w:t>
            </w:r>
            <w:hyperlink w:history="0" w:anchor="P1173" w:tooltip="6">
              <w:r>
                <w:rPr>
                  <w:sz w:val="24"/>
                  <w:color w:val="0000ff"/>
                </w:rPr>
                <w:t xml:space="preserve">гр. 6</w:t>
              </w:r>
            </w:hyperlink>
            <w:r>
              <w:rPr>
                <w:sz w:val="24"/>
              </w:rPr>
              <w:t xml:space="preserve"> или </w:t>
            </w:r>
            <w:hyperlink w:history="0" w:anchor="P1175" w:tooltip="8">
              <w:r>
                <w:rPr>
                  <w:sz w:val="24"/>
                  <w:color w:val="0000ff"/>
                </w:rPr>
                <w:t xml:space="preserve">гр. 8</w:t>
              </w:r>
            </w:hyperlink>
            <w:r>
              <w:rPr>
                <w:sz w:val="24"/>
              </w:rPr>
              <w:t xml:space="preserve">), рублей</w:t>
            </w:r>
          </w:p>
        </w:tc>
      </w:tr>
      <w:tr>
        <w:tc>
          <w:tcPr>
            <w:tcW w:w="845" w:type="dxa"/>
          </w:tcPr>
          <w:p>
            <w:pPr>
              <w:pStyle w:val="0"/>
              <w:jc w:val="center"/>
            </w:pPr>
            <w:r>
              <w:rPr>
                <w:sz w:val="24"/>
              </w:rPr>
              <w:t xml:space="preserve">1</w:t>
            </w:r>
          </w:p>
        </w:tc>
        <w:tc>
          <w:tcPr>
            <w:tcW w:w="1644" w:type="dxa"/>
          </w:tcPr>
          <w:p>
            <w:pPr>
              <w:pStyle w:val="0"/>
              <w:jc w:val="center"/>
            </w:pPr>
            <w:r>
              <w:rPr>
                <w:sz w:val="24"/>
              </w:rPr>
              <w:t xml:space="preserve">2</w:t>
            </w:r>
          </w:p>
        </w:tc>
        <w:tc>
          <w:tcPr>
            <w:tcW w:w="1191" w:type="dxa"/>
          </w:tcPr>
          <w:p>
            <w:pPr>
              <w:pStyle w:val="0"/>
              <w:jc w:val="center"/>
            </w:pPr>
            <w:r>
              <w:rPr>
                <w:sz w:val="24"/>
              </w:rPr>
              <w:t xml:space="preserve">3</w:t>
            </w:r>
          </w:p>
        </w:tc>
        <w:tc>
          <w:tcPr>
            <w:tcW w:w="907" w:type="dxa"/>
          </w:tcPr>
          <w:p>
            <w:pPr>
              <w:pStyle w:val="0"/>
              <w:jc w:val="center"/>
            </w:pPr>
            <w:r>
              <w:rPr>
                <w:sz w:val="24"/>
              </w:rPr>
              <w:t xml:space="preserve">4</w:t>
            </w:r>
          </w:p>
        </w:tc>
        <w:tc>
          <w:tcPr>
            <w:tcW w:w="883" w:type="dxa"/>
          </w:tcPr>
          <w:p>
            <w:pPr>
              <w:pStyle w:val="0"/>
              <w:jc w:val="center"/>
            </w:pPr>
            <w:r>
              <w:rPr>
                <w:sz w:val="24"/>
              </w:rPr>
              <w:t xml:space="preserve">5</w:t>
            </w:r>
          </w:p>
        </w:tc>
        <w:tc>
          <w:tcPr>
            <w:tcW w:w="2891" w:type="dxa"/>
          </w:tcPr>
          <w:bookmarkStart w:id="1173" w:name="P1173"/>
          <w:bookmarkEnd w:id="1173"/>
          <w:p>
            <w:pPr>
              <w:pStyle w:val="0"/>
              <w:jc w:val="center"/>
            </w:pPr>
            <w:r>
              <w:rPr>
                <w:sz w:val="24"/>
              </w:rPr>
              <w:t xml:space="preserve">6</w:t>
            </w:r>
          </w:p>
        </w:tc>
        <w:tc>
          <w:tcPr>
            <w:tcW w:w="1701" w:type="dxa"/>
          </w:tcPr>
          <w:p>
            <w:pPr>
              <w:pStyle w:val="0"/>
              <w:jc w:val="center"/>
            </w:pPr>
            <w:r>
              <w:rPr>
                <w:sz w:val="24"/>
              </w:rPr>
              <w:t xml:space="preserve">7</w:t>
            </w:r>
          </w:p>
        </w:tc>
        <w:tc>
          <w:tcPr>
            <w:tcW w:w="3912" w:type="dxa"/>
          </w:tcPr>
          <w:bookmarkStart w:id="1175" w:name="P1175"/>
          <w:bookmarkEnd w:id="1175"/>
          <w:p>
            <w:pPr>
              <w:pStyle w:val="0"/>
              <w:jc w:val="center"/>
            </w:pPr>
            <w:r>
              <w:rPr>
                <w:sz w:val="24"/>
              </w:rPr>
              <w:t xml:space="preserve">8</w:t>
            </w:r>
          </w:p>
        </w:tc>
        <w:tc>
          <w:tcPr>
            <w:tcW w:w="1587" w:type="dxa"/>
          </w:tcPr>
          <w:bookmarkStart w:id="1176" w:name="P1176"/>
          <w:bookmarkEnd w:id="1176"/>
          <w:p>
            <w:pPr>
              <w:pStyle w:val="0"/>
              <w:jc w:val="center"/>
            </w:pPr>
            <w:r>
              <w:rPr>
                <w:sz w:val="24"/>
              </w:rPr>
              <w:t xml:space="preserve">9</w:t>
            </w:r>
          </w:p>
        </w:tc>
      </w:tr>
      <w:tr>
        <w:tc>
          <w:tcPr>
            <w:tcW w:w="845" w:type="dxa"/>
          </w:tcPr>
          <w:p>
            <w:pPr>
              <w:pStyle w:val="0"/>
              <w:jc w:val="center"/>
            </w:pPr>
            <w:r>
              <w:rPr>
                <w:sz w:val="24"/>
              </w:rPr>
              <w:t xml:space="preserve">1</w:t>
            </w:r>
          </w:p>
        </w:tc>
        <w:tc>
          <w:tcPr>
            <w:tcW w:w="1644"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883" w:type="dxa"/>
          </w:tcPr>
          <w:p>
            <w:pPr>
              <w:pStyle w:val="0"/>
            </w:pPr>
            <w:r>
              <w:rPr>
                <w:sz w:val="24"/>
              </w:rPr>
            </w:r>
          </w:p>
        </w:tc>
        <w:tc>
          <w:tcPr>
            <w:tcW w:w="2891" w:type="dxa"/>
          </w:tcPr>
          <w:p>
            <w:pPr>
              <w:pStyle w:val="0"/>
            </w:pPr>
            <w:r>
              <w:rPr>
                <w:sz w:val="24"/>
              </w:rPr>
            </w:r>
          </w:p>
        </w:tc>
        <w:tc>
          <w:tcPr>
            <w:tcW w:w="1701" w:type="dxa"/>
          </w:tcPr>
          <w:p>
            <w:pPr>
              <w:pStyle w:val="0"/>
            </w:pPr>
            <w:r>
              <w:rPr>
                <w:sz w:val="24"/>
              </w:rPr>
            </w:r>
          </w:p>
        </w:tc>
        <w:tc>
          <w:tcPr>
            <w:tcW w:w="3912" w:type="dxa"/>
          </w:tcPr>
          <w:p>
            <w:pPr>
              <w:pStyle w:val="0"/>
            </w:pPr>
            <w:r>
              <w:rPr>
                <w:sz w:val="24"/>
              </w:rPr>
            </w:r>
          </w:p>
        </w:tc>
        <w:tc>
          <w:tcPr>
            <w:tcW w:w="1587" w:type="dxa"/>
          </w:tcPr>
          <w:p>
            <w:pPr>
              <w:pStyle w:val="0"/>
            </w:pPr>
            <w:r>
              <w:rPr>
                <w:sz w:val="24"/>
              </w:rPr>
            </w:r>
          </w:p>
        </w:tc>
      </w:tr>
      <w:tr>
        <w:tc>
          <w:tcPr>
            <w:tcW w:w="845" w:type="dxa"/>
          </w:tcPr>
          <w:p>
            <w:pPr>
              <w:pStyle w:val="0"/>
              <w:jc w:val="center"/>
            </w:pPr>
            <w:r>
              <w:rPr>
                <w:sz w:val="24"/>
              </w:rPr>
              <w:t xml:space="preserve">...</w:t>
            </w:r>
          </w:p>
        </w:tc>
        <w:tc>
          <w:tcPr>
            <w:tcW w:w="1644"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883" w:type="dxa"/>
          </w:tcPr>
          <w:p>
            <w:pPr>
              <w:pStyle w:val="0"/>
            </w:pPr>
            <w:r>
              <w:rPr>
                <w:sz w:val="24"/>
              </w:rPr>
            </w:r>
          </w:p>
        </w:tc>
        <w:tc>
          <w:tcPr>
            <w:tcW w:w="2891" w:type="dxa"/>
          </w:tcPr>
          <w:p>
            <w:pPr>
              <w:pStyle w:val="0"/>
            </w:pPr>
            <w:r>
              <w:rPr>
                <w:sz w:val="24"/>
              </w:rPr>
            </w:r>
          </w:p>
        </w:tc>
        <w:tc>
          <w:tcPr>
            <w:tcW w:w="1701" w:type="dxa"/>
          </w:tcPr>
          <w:p>
            <w:pPr>
              <w:pStyle w:val="0"/>
            </w:pPr>
            <w:r>
              <w:rPr>
                <w:sz w:val="24"/>
              </w:rPr>
            </w:r>
          </w:p>
        </w:tc>
        <w:tc>
          <w:tcPr>
            <w:tcW w:w="3912" w:type="dxa"/>
          </w:tcPr>
          <w:p>
            <w:pPr>
              <w:pStyle w:val="0"/>
            </w:pPr>
            <w:r>
              <w:rPr>
                <w:sz w:val="24"/>
              </w:rPr>
            </w:r>
          </w:p>
        </w:tc>
        <w:tc>
          <w:tcPr>
            <w:tcW w:w="1587" w:type="dxa"/>
          </w:tcPr>
          <w:p>
            <w:pPr>
              <w:pStyle w:val="0"/>
            </w:pPr>
            <w:r>
              <w:rPr>
                <w:sz w:val="24"/>
              </w:rPr>
            </w:r>
          </w:p>
        </w:tc>
      </w:tr>
      <w:tr>
        <w:tc>
          <w:tcPr>
            <w:tcW w:w="845" w:type="dxa"/>
          </w:tcPr>
          <w:p>
            <w:pPr>
              <w:pStyle w:val="0"/>
              <w:jc w:val="center"/>
            </w:pPr>
            <w:r>
              <w:rPr>
                <w:sz w:val="24"/>
              </w:rPr>
              <w:t xml:space="preserve">n</w:t>
            </w:r>
          </w:p>
        </w:tc>
        <w:tc>
          <w:tcPr>
            <w:tcW w:w="1644"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883" w:type="dxa"/>
          </w:tcPr>
          <w:p>
            <w:pPr>
              <w:pStyle w:val="0"/>
            </w:pPr>
            <w:r>
              <w:rPr>
                <w:sz w:val="24"/>
              </w:rPr>
            </w:r>
          </w:p>
        </w:tc>
        <w:tc>
          <w:tcPr>
            <w:tcW w:w="2891" w:type="dxa"/>
          </w:tcPr>
          <w:p>
            <w:pPr>
              <w:pStyle w:val="0"/>
            </w:pPr>
            <w:r>
              <w:rPr>
                <w:sz w:val="24"/>
              </w:rPr>
            </w:r>
          </w:p>
        </w:tc>
        <w:tc>
          <w:tcPr>
            <w:tcW w:w="1701" w:type="dxa"/>
          </w:tcPr>
          <w:p>
            <w:pPr>
              <w:pStyle w:val="0"/>
            </w:pPr>
            <w:r>
              <w:rPr>
                <w:sz w:val="24"/>
              </w:rPr>
            </w:r>
          </w:p>
        </w:tc>
        <w:tc>
          <w:tcPr>
            <w:tcW w:w="3912" w:type="dxa"/>
          </w:tcPr>
          <w:p>
            <w:pPr>
              <w:pStyle w:val="0"/>
            </w:pPr>
            <w:r>
              <w:rPr>
                <w:sz w:val="24"/>
              </w:rPr>
            </w:r>
          </w:p>
        </w:tc>
        <w:tc>
          <w:tcPr>
            <w:tcW w:w="1587" w:type="dxa"/>
          </w:tcPr>
          <w:p>
            <w:pPr>
              <w:pStyle w:val="0"/>
            </w:pPr>
            <w:r>
              <w:rPr>
                <w:sz w:val="24"/>
              </w:rPr>
            </w:r>
          </w:p>
        </w:tc>
      </w:tr>
    </w:tbl>
    <w:p>
      <w:pPr>
        <w:sectPr>
          <w:headerReference w:type="default" r:id="rId15"/>
          <w:headerReference w:type="first" r:id="rId15"/>
          <w:footerReference w:type="default" r:id="rId16"/>
          <w:footerReference w:type="first" r:id="rId16"/>
          <w:pgSz w:w="16838" w:h="11906" w:orient="landscape"/>
          <w:pgMar w:top="1133" w:right="397" w:bottom="566" w:left="397"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Объем фактически понесенных затрат: _____________________ рублей (сумма показателей </w:t>
            </w:r>
            <w:hyperlink w:history="0" w:anchor="P1176" w:tooltip="9">
              <w:r>
                <w:rPr>
                  <w:sz w:val="24"/>
                  <w:color w:val="0000ff"/>
                </w:rPr>
                <w:t xml:space="preserve">графы 9</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1984"/>
        <w:gridCol w:w="340"/>
        <w:gridCol w:w="3685"/>
      </w:tblGrid>
      <w:tr>
        <w:tc>
          <w:tcPr>
            <w:tcW w:w="3061" w:type="dxa"/>
            <w:vAlign w:val="bottom"/>
            <w:tcBorders>
              <w:top w:val="nil"/>
              <w:left w:val="nil"/>
              <w:bottom w:val="nil"/>
              <w:right w:val="nil"/>
            </w:tcBorders>
          </w:tcPr>
          <w:p>
            <w:pPr>
              <w:pStyle w:val="0"/>
            </w:pPr>
            <w:r>
              <w:rPr>
                <w:sz w:val="24"/>
              </w:rPr>
              <w:t xml:space="preserve">Руководитель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Главный бухгалтер</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vAlign w:val="bottom"/>
            <w:tcBorders>
              <w:top w:val="nil"/>
              <w:left w:val="nil"/>
              <w:bottom w:val="nil"/>
              <w:right w:val="nil"/>
            </w:tcBorders>
          </w:tcPr>
          <w:p>
            <w:pPr>
              <w:pStyle w:val="0"/>
            </w:pPr>
            <w:r>
              <w:rPr>
                <w:sz w:val="24"/>
              </w:rPr>
              <w:t xml:space="preserve">МП (при наличии)</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61"/>
        <w:gridCol w:w="1984"/>
        <w:gridCol w:w="340"/>
        <w:gridCol w:w="3685"/>
      </w:tblGrid>
      <w:tr>
        <w:tc>
          <w:tcPr>
            <w:tcW w:w="3061" w:type="dxa"/>
            <w:vAlign w:val="center"/>
            <w:tcBorders>
              <w:top w:val="nil"/>
              <w:left w:val="nil"/>
              <w:bottom w:val="nil"/>
              <w:right w:val="nil"/>
            </w:tcBorders>
          </w:tcPr>
          <w:p>
            <w:pPr>
              <w:pStyle w:val="0"/>
            </w:pPr>
            <w:r>
              <w:rPr>
                <w:sz w:val="24"/>
              </w:rPr>
              <w:t xml:space="preserve">Расчет подтверждается</w:t>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061" w:type="dxa"/>
            <w:vAlign w:val="bottom"/>
            <w:tcBorders>
              <w:top w:val="nil"/>
              <w:left w:val="nil"/>
              <w:bottom w:val="nil"/>
              <w:right w:val="nil"/>
            </w:tcBorders>
          </w:tcPr>
          <w:p>
            <w:pPr>
              <w:pStyle w:val="0"/>
            </w:pPr>
            <w:r>
              <w:rPr>
                <w:sz w:val="24"/>
              </w:rPr>
              <w:t xml:space="preserve">Уполномоченное лицо кредитной организации (иной организации)</w:t>
            </w:r>
          </w:p>
        </w:tc>
        <w:tc>
          <w:tcPr>
            <w:tcW w:w="198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061"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61" w:type="dxa"/>
            <w:tcBorders>
              <w:top w:val="nil"/>
              <w:left w:val="nil"/>
              <w:bottom w:val="nil"/>
              <w:right w:val="nil"/>
            </w:tcBorders>
          </w:tcPr>
          <w:p>
            <w:pPr>
              <w:pStyle w:val="0"/>
            </w:pPr>
            <w:r>
              <w:rPr>
                <w:sz w:val="24"/>
              </w:rPr>
            </w:r>
          </w:p>
        </w:tc>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jc w:val="center"/>
            </w:pPr>
            <w:r>
              <w:rPr>
                <w:sz w:val="24"/>
              </w:rPr>
              <w:t xml:space="preserve">"__" ___________ 20__ г.</w:t>
            </w:r>
          </w:p>
        </w:tc>
      </w:tr>
    </w:tbl>
    <w:p>
      <w:pPr>
        <w:pStyle w:val="0"/>
        <w:jc w:val="both"/>
      </w:pPr>
      <w:r>
        <w:rPr>
          <w:sz w:val="24"/>
        </w:rPr>
      </w:r>
    </w:p>
    <w:p>
      <w:pPr>
        <w:pStyle w:val="0"/>
        <w:ind w:firstLine="540"/>
        <w:jc w:val="both"/>
      </w:pPr>
      <w:r>
        <w:rPr>
          <w:sz w:val="24"/>
        </w:rPr>
        <w:t xml:space="preserve">--------------------------------</w:t>
      </w:r>
    </w:p>
    <w:bookmarkStart w:id="1246" w:name="P1246"/>
    <w:bookmarkEnd w:id="1246"/>
    <w:p>
      <w:pPr>
        <w:pStyle w:val="0"/>
        <w:spacing w:before="240" w:line-rule="auto"/>
        <w:ind w:firstLine="540"/>
        <w:jc w:val="both"/>
      </w:pPr>
      <w:r>
        <w:rPr>
          <w:sz w:val="24"/>
        </w:rPr>
        <w:t xml:space="preserve">&lt;1&gt; В настоящем документе используются понятия, установленные Федеральным </w:t>
      </w:r>
      <w:r>
        <w:rPr>
          <w:sz w:val="24"/>
        </w:rPr>
        <w:t xml:space="preserve">законом</w:t>
      </w:r>
      <w:r>
        <w:rPr>
          <w:sz w:val="24"/>
        </w:rPr>
        <w:t xml:space="preserve">, а также определения, установленные </w:t>
      </w:r>
      <w:hyperlink w:history="0" w:anchor="P193" w:tooltip="12.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
        <w:r>
          <w:rPr>
            <w:sz w:val="24"/>
            <w:color w:val="0000ff"/>
          </w:rPr>
          <w:t xml:space="preserve">Правилами</w:t>
        </w:r>
      </w:hyperlink>
      <w:r>
        <w:rPr>
          <w:sz w:val="24"/>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w:t>
      </w:r>
    </w:p>
    <w:bookmarkStart w:id="1247" w:name="P1247"/>
    <w:bookmarkEnd w:id="1247"/>
    <w:p>
      <w:pPr>
        <w:pStyle w:val="0"/>
        <w:spacing w:before="240" w:line-rule="auto"/>
        <w:ind w:firstLine="540"/>
        <w:jc w:val="both"/>
      </w:pPr>
      <w:r>
        <w:rPr>
          <w:sz w:val="24"/>
        </w:rPr>
        <w:t xml:space="preserve">&lt;2&gt; В случае предоставления субсидии указывается бюджет бюджетной системы Российской Федерации, за счет средств которого предоставлена субсидия.</w:t>
      </w:r>
    </w:p>
    <w:bookmarkStart w:id="1248" w:name="P1248"/>
    <w:bookmarkEnd w:id="1248"/>
    <w:p>
      <w:pPr>
        <w:pStyle w:val="0"/>
        <w:spacing w:before="240" w:line-rule="auto"/>
        <w:ind w:firstLine="540"/>
        <w:jc w:val="both"/>
      </w:pPr>
      <w:r>
        <w:rPr>
          <w:sz w:val="24"/>
        </w:rPr>
        <w:t xml:space="preserve">&lt;3&gt; В </w:t>
      </w:r>
      <w:hyperlink w:history="0" w:anchor="P825" w:tooltip="1">
        <w:r>
          <w:rPr>
            <w:sz w:val="24"/>
            <w:color w:val="0000ff"/>
          </w:rPr>
          <w:t xml:space="preserve">строках 1</w:t>
        </w:r>
      </w:hyperlink>
      <w:r>
        <w:rPr>
          <w:sz w:val="24"/>
        </w:rPr>
        <w:t xml:space="preserve"> - </w:t>
      </w:r>
      <w:hyperlink w:history="0" w:anchor="P845" w:tooltip="4">
        <w:r>
          <w:rPr>
            <w:sz w:val="24"/>
            <w:color w:val="0000ff"/>
          </w:rPr>
          <w:t xml:space="preserve">4</w:t>
        </w:r>
      </w:hyperlink>
      <w:r>
        <w:rPr>
          <w:sz w:val="24"/>
        </w:rPr>
        <w:t xml:space="preserve"> графы 3 указываются соответственно значения показателей C</w:t>
      </w:r>
      <w:r>
        <w:rPr>
          <w:sz w:val="24"/>
          <w:vertAlign w:val="subscript"/>
        </w:rPr>
        <w:t xml:space="preserve">инф обесп</w:t>
      </w:r>
      <w:r>
        <w:rPr>
          <w:sz w:val="24"/>
        </w:rPr>
        <w:t xml:space="preserve">, C</w:t>
      </w:r>
      <w:r>
        <w:rPr>
          <w:sz w:val="24"/>
          <w:vertAlign w:val="subscript"/>
        </w:rPr>
        <w:t xml:space="preserve">инф соп</w:t>
      </w:r>
      <w:r>
        <w:rPr>
          <w:sz w:val="24"/>
        </w:rPr>
        <w:t xml:space="preserve">, C</w:t>
      </w:r>
      <w:r>
        <w:rPr>
          <w:sz w:val="24"/>
          <w:vertAlign w:val="subscript"/>
        </w:rPr>
        <w:t xml:space="preserve">ис</w:t>
      </w:r>
      <w:r>
        <w:rPr>
          <w:sz w:val="24"/>
        </w:rPr>
        <w:t xml:space="preserve">, C</w:t>
      </w:r>
      <w:r>
        <w:rPr>
          <w:sz w:val="24"/>
          <w:vertAlign w:val="subscript"/>
        </w:rPr>
        <w:t xml:space="preserve">дем</w:t>
      </w:r>
      <w:r>
        <w:rPr>
          <w:sz w:val="24"/>
        </w:rPr>
        <w:t xml:space="preserve">, рассчитанные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пунктами 2(1)</w:t>
        </w:r>
      </w:hyperlink>
      <w:r>
        <w:rPr>
          <w:sz w:val="24"/>
        </w:rPr>
        <w:t xml:space="preserve"> - </w:t>
      </w:r>
      <w:hyperlink w:history="0" w:anchor="P739" w:tooltip="2(4). Объем фактически понесенных затрат на демонтаж (Cдем) определяется по формуле:">
        <w:r>
          <w:rPr>
            <w:sz w:val="24"/>
            <w:color w:val="0000ff"/>
          </w:rPr>
          <w:t xml:space="preserve">2(4)</w:t>
        </w:r>
      </w:hyperlink>
      <w:r>
        <w:rPr>
          <w:sz w:val="24"/>
        </w:rPr>
        <w:t xml:space="preserve"> формы расчета объема возмещения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предусмотренной приложением N 2 к Правилам (далее - форма).</w:t>
      </w:r>
    </w:p>
    <w:bookmarkStart w:id="1249" w:name="P1249"/>
    <w:bookmarkEnd w:id="1249"/>
    <w:p>
      <w:pPr>
        <w:pStyle w:val="0"/>
        <w:spacing w:before="240" w:line-rule="auto"/>
        <w:ind w:firstLine="540"/>
        <w:jc w:val="both"/>
      </w:pPr>
      <w:r>
        <w:rPr>
          <w:sz w:val="24"/>
        </w:rPr>
        <w:t xml:space="preserve">&lt;4&gt; 6 лет - в случаях, предусмотренных </w:t>
      </w:r>
      <w:r>
        <w:rPr>
          <w:sz w:val="24"/>
        </w:rPr>
        <w:t xml:space="preserve">пунктом 1 части 7 статьи 15</w:t>
      </w:r>
      <w:r>
        <w:rPr>
          <w:sz w:val="24"/>
        </w:rPr>
        <w:t xml:space="preserve"> Федерального закона "О защите и поощрении капиталовложений в Российской Федерации" (далее - Федеральный закон).</w:t>
      </w:r>
    </w:p>
    <w:bookmarkStart w:id="1250" w:name="P1250"/>
    <w:bookmarkEnd w:id="1250"/>
    <w:p>
      <w:pPr>
        <w:pStyle w:val="0"/>
        <w:spacing w:before="240" w:line-rule="auto"/>
        <w:ind w:firstLine="540"/>
        <w:jc w:val="both"/>
      </w:pPr>
      <w:r>
        <w:rPr>
          <w:sz w:val="24"/>
        </w:rPr>
        <w:t xml:space="preserve">&lt;5&gt; 11 лет - в случаях, предусмотренных </w:t>
      </w:r>
      <w:r>
        <w:rPr>
          <w:sz w:val="24"/>
        </w:rPr>
        <w:t xml:space="preserve">пунктом 2 части 7 статьи 15</w:t>
      </w:r>
      <w:r>
        <w:rPr>
          <w:sz w:val="24"/>
        </w:rPr>
        <w:t xml:space="preserve"> Федерального закона.</w:t>
      </w:r>
    </w:p>
    <w:bookmarkStart w:id="1251" w:name="P1251"/>
    <w:bookmarkEnd w:id="1251"/>
    <w:p>
      <w:pPr>
        <w:pStyle w:val="0"/>
        <w:spacing w:before="240" w:line-rule="auto"/>
        <w:ind w:firstLine="540"/>
        <w:jc w:val="both"/>
      </w:pPr>
      <w:r>
        <w:rPr>
          <w:sz w:val="24"/>
        </w:rPr>
        <w:t xml:space="preserve">&lt;6&gt; i - период (календарный год), в котором организация, реализующая проект, представила расчет объема возмещения затрат, указанных в </w:t>
      </w:r>
      <w:r>
        <w:rPr>
          <w:sz w:val="24"/>
        </w:rPr>
        <w:t xml:space="preserve">части 1 статьи 15</w:t>
      </w:r>
      <w:r>
        <w:rPr>
          <w:sz w:val="24"/>
        </w:rPr>
        <w:t xml:space="preserve"> Федерального закона, в связи с реализацией проекта.</w:t>
      </w:r>
    </w:p>
    <w:bookmarkStart w:id="1252" w:name="P1252"/>
    <w:bookmarkEnd w:id="1252"/>
    <w:p>
      <w:pPr>
        <w:pStyle w:val="0"/>
        <w:spacing w:before="240" w:line-rule="auto"/>
        <w:ind w:firstLine="540"/>
        <w:jc w:val="both"/>
      </w:pPr>
      <w:r>
        <w:rPr>
          <w:sz w:val="24"/>
        </w:rPr>
        <w:t xml:space="preserve">&lt;7&gt; n - указывается исходя из предельного срока возмещения затрат.</w:t>
      </w:r>
    </w:p>
    <w:bookmarkStart w:id="1253" w:name="P1253"/>
    <w:bookmarkEnd w:id="1253"/>
    <w:p>
      <w:pPr>
        <w:pStyle w:val="0"/>
        <w:spacing w:before="240" w:line-rule="auto"/>
        <w:ind w:firstLine="540"/>
        <w:jc w:val="both"/>
      </w:pPr>
      <w:r>
        <w:rPr>
          <w:sz w:val="24"/>
        </w:rPr>
        <w:t xml:space="preserve">&lt;8&gt; Налог на добавленную стоимость (за вычетом налога, возмещенного организации, реализующей проект), уплаченный организацией, реализующей проект, в федеральный бюджет за соответствующие периоды.</w:t>
      </w:r>
    </w:p>
    <w:bookmarkStart w:id="1254" w:name="P1254"/>
    <w:bookmarkEnd w:id="1254"/>
    <w:p>
      <w:pPr>
        <w:pStyle w:val="0"/>
        <w:spacing w:before="240" w:line-rule="auto"/>
        <w:ind w:firstLine="540"/>
        <w:jc w:val="both"/>
      </w:pPr>
      <w:r>
        <w:rPr>
          <w:sz w:val="24"/>
        </w:rPr>
        <w:t xml:space="preserve">&lt;9&gt; Расчет объема фактически понесенных затрат на уплату процентов по кредиту (займу), полученному в рублях, представляется отдельно в отношении каждого объекта инфраструктуры и (или) основного объекта проекта.</w:t>
      </w:r>
    </w:p>
    <w:bookmarkStart w:id="1255" w:name="P1255"/>
    <w:bookmarkEnd w:id="1255"/>
    <w:p>
      <w:pPr>
        <w:pStyle w:val="0"/>
        <w:spacing w:before="240" w:line-rule="auto"/>
        <w:ind w:firstLine="540"/>
        <w:jc w:val="both"/>
      </w:pPr>
      <w:r>
        <w:rPr>
          <w:sz w:val="24"/>
        </w:rPr>
        <w:t xml:space="preserve">&lt;10&gt; В зависимости от типа объекта указывается период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пунктами 2(1)</w:t>
        </w:r>
      </w:hyperlink>
      <w:r>
        <w:rPr>
          <w:sz w:val="24"/>
        </w:rPr>
        <w:t xml:space="preserve"> и </w:t>
      </w:r>
      <w:hyperlink w:history="0" w:anchor="P708" w:tooltip="2(2). Объем фактически понесенных затрат на объекты сопутствующей инфраструктуры (Cинф соп) определяется по формуле:">
        <w:r>
          <w:rPr>
            <w:sz w:val="24"/>
            <w:color w:val="0000ff"/>
          </w:rPr>
          <w:t xml:space="preserve">2(2)</w:t>
        </w:r>
      </w:hyperlink>
      <w:r>
        <w:rPr>
          <w:sz w:val="24"/>
        </w:rPr>
        <w:t xml:space="preserve"> формы (для объектов инфраструктуры) или в соответствии с </w:t>
      </w:r>
      <w:hyperlink w:history="0" w:anchor="P724" w:tooltip="2(3). Объем фактически понесенных затрат на уплату процентов на инвестиционной стадии (Cис) определяется по формуле:">
        <w:r>
          <w:rPr>
            <w:sz w:val="24"/>
            <w:color w:val="0000ff"/>
          </w:rPr>
          <w:t xml:space="preserve">пунктом 2(3)</w:t>
        </w:r>
      </w:hyperlink>
      <w:r>
        <w:rPr>
          <w:sz w:val="24"/>
        </w:rPr>
        <w:t xml:space="preserve"> формы (для основного объекта проекта).</w:t>
      </w:r>
    </w:p>
    <w:bookmarkStart w:id="1256" w:name="P1256"/>
    <w:bookmarkEnd w:id="1256"/>
    <w:p>
      <w:pPr>
        <w:pStyle w:val="0"/>
        <w:spacing w:before="240" w:line-rule="auto"/>
        <w:ind w:firstLine="540"/>
        <w:jc w:val="both"/>
      </w:pPr>
      <w:r>
        <w:rPr>
          <w:sz w:val="24"/>
        </w:rPr>
        <w:t xml:space="preserve">&lt;11&gt; Без учета задолженности по кредитам (займам) и процентов по ним, уплаченным с нарушением установленного графика.</w:t>
      </w:r>
    </w:p>
    <w:bookmarkStart w:id="1257" w:name="P1257"/>
    <w:bookmarkEnd w:id="1257"/>
    <w:p>
      <w:pPr>
        <w:pStyle w:val="0"/>
        <w:spacing w:before="240" w:line-rule="auto"/>
        <w:ind w:firstLine="540"/>
        <w:jc w:val="both"/>
      </w:pPr>
      <w:r>
        <w:rPr>
          <w:sz w:val="24"/>
        </w:rPr>
        <w:t xml:space="preserve">&lt;12&gt; Расчетный период - период, в котором показатели, указанные в </w:t>
      </w:r>
      <w:hyperlink w:history="0" w:anchor="P994" w:tooltip="2">
        <w:r>
          <w:rPr>
            <w:sz w:val="24"/>
            <w:color w:val="0000ff"/>
          </w:rPr>
          <w:t xml:space="preserve">графах 2</w:t>
        </w:r>
      </w:hyperlink>
      <w:r>
        <w:rPr>
          <w:sz w:val="24"/>
        </w:rPr>
        <w:t xml:space="preserve">, </w:t>
      </w:r>
      <w:hyperlink w:history="0" w:anchor="P996" w:tooltip="4">
        <w:r>
          <w:rPr>
            <w:sz w:val="24"/>
            <w:color w:val="0000ff"/>
          </w:rPr>
          <w:t xml:space="preserve">4</w:t>
        </w:r>
      </w:hyperlink>
      <w:r>
        <w:rPr>
          <w:sz w:val="24"/>
        </w:rPr>
        <w:t xml:space="preserve"> и </w:t>
      </w:r>
      <w:hyperlink w:history="0" w:anchor="P997" w:tooltip="5">
        <w:r>
          <w:rPr>
            <w:sz w:val="24"/>
            <w:color w:val="0000ff"/>
          </w:rPr>
          <w:t xml:space="preserve">5</w:t>
        </w:r>
      </w:hyperlink>
      <w:r>
        <w:rPr>
          <w:sz w:val="24"/>
        </w:rPr>
        <w:t xml:space="preserve">, неизменны.</w:t>
      </w:r>
    </w:p>
    <w:bookmarkStart w:id="1258" w:name="P1258"/>
    <w:bookmarkEnd w:id="1258"/>
    <w:p>
      <w:pPr>
        <w:pStyle w:val="0"/>
        <w:spacing w:before="240" w:line-rule="auto"/>
        <w:ind w:firstLine="540"/>
        <w:jc w:val="both"/>
      </w:pPr>
      <w:r>
        <w:rPr>
          <w:sz w:val="24"/>
        </w:rPr>
        <w:t xml:space="preserve">&lt;13&gt; Показатель F1, X1 или H1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пунктом 2(1)</w:t>
        </w:r>
      </w:hyperlink>
      <w:r>
        <w:rPr>
          <w:sz w:val="24"/>
        </w:rPr>
        <w:t xml:space="preserve">, </w:t>
      </w:r>
      <w:hyperlink w:history="0" w:anchor="P708" w:tooltip="2(2). Объем фактически понесенных затрат на объекты сопутствующей инфраструктуры (Cинф соп) определяется по формуле:">
        <w:r>
          <w:rPr>
            <w:sz w:val="24"/>
            <w:color w:val="0000ff"/>
          </w:rPr>
          <w:t xml:space="preserve">2(2)</w:t>
        </w:r>
      </w:hyperlink>
      <w:r>
        <w:rPr>
          <w:sz w:val="24"/>
        </w:rPr>
        <w:t xml:space="preserve"> или </w:t>
      </w:r>
      <w:hyperlink w:history="0" w:anchor="P724" w:tooltip="2(3). Объем фактически понесенных затрат на уплату процентов на инвестиционной стадии (Cис) определяется по формуле:">
        <w:r>
          <w:rPr>
            <w:sz w:val="24"/>
            <w:color w:val="0000ff"/>
          </w:rPr>
          <w:t xml:space="preserve">2(3)</w:t>
        </w:r>
      </w:hyperlink>
      <w:r>
        <w:rPr>
          <w:sz w:val="24"/>
        </w:rPr>
        <w:t xml:space="preserve"> формы в зависимости от типа объекта, указанного в </w:t>
      </w:r>
      <w:hyperlink w:history="0" w:anchor="P799" w:tooltip="1. Объем мер прямой государственной поддержки (если применимо) ____________________________ (рублей)">
        <w:r>
          <w:rPr>
            <w:sz w:val="24"/>
            <w:color w:val="0000ff"/>
          </w:rPr>
          <w:t xml:space="preserve">пункте 1</w:t>
        </w:r>
      </w:hyperlink>
      <w:r>
        <w:rPr>
          <w:sz w:val="24"/>
        </w:rPr>
        <w:t xml:space="preserve"> расчета объема фактически понесенных затрат на уплату процентов по кредиту (займу), полученному в рублях.</w:t>
      </w:r>
    </w:p>
    <w:bookmarkStart w:id="1259" w:name="P1259"/>
    <w:bookmarkEnd w:id="1259"/>
    <w:p>
      <w:pPr>
        <w:pStyle w:val="0"/>
        <w:spacing w:before="240" w:line-rule="auto"/>
        <w:ind w:firstLine="540"/>
        <w:jc w:val="both"/>
      </w:pPr>
      <w:r>
        <w:rPr>
          <w:sz w:val="24"/>
        </w:rPr>
        <w:t xml:space="preserve">&lt;14&gt; Расчет объема фактически понесенных затрат на уплату процентов по кредиту и займу, полученным в иностранной валюте, представляется отдельно в отношении каждого объекта инфраструктуры и (или) основного объекта проекта.</w:t>
      </w:r>
    </w:p>
    <w:bookmarkStart w:id="1260" w:name="P1260"/>
    <w:bookmarkEnd w:id="1260"/>
    <w:p>
      <w:pPr>
        <w:pStyle w:val="0"/>
        <w:spacing w:before="240" w:line-rule="auto"/>
        <w:ind w:firstLine="540"/>
        <w:jc w:val="both"/>
      </w:pPr>
      <w:r>
        <w:rPr>
          <w:sz w:val="24"/>
        </w:rPr>
        <w:t xml:space="preserve">&lt;15&gt; В зависимости от типа объекта указывается период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пунктами 2(1)</w:t>
        </w:r>
      </w:hyperlink>
      <w:r>
        <w:rPr>
          <w:sz w:val="24"/>
        </w:rPr>
        <w:t xml:space="preserve"> и </w:t>
      </w:r>
      <w:hyperlink w:history="0" w:anchor="P708" w:tooltip="2(2). Объем фактически понесенных затрат на объекты сопутствующей инфраструктуры (Cинф соп) определяется по формуле:">
        <w:r>
          <w:rPr>
            <w:sz w:val="24"/>
            <w:color w:val="0000ff"/>
          </w:rPr>
          <w:t xml:space="preserve">2(2)</w:t>
        </w:r>
      </w:hyperlink>
      <w:r>
        <w:rPr>
          <w:sz w:val="24"/>
        </w:rPr>
        <w:t xml:space="preserve"> формы (для объектов инфраструктуры) или в соответствии с </w:t>
      </w:r>
      <w:hyperlink w:history="0" w:anchor="P724" w:tooltip="2(3). Объем фактически понесенных затрат на уплату процентов на инвестиционной стадии (Cис) определяется по формуле:">
        <w:r>
          <w:rPr>
            <w:sz w:val="24"/>
            <w:color w:val="0000ff"/>
          </w:rPr>
          <w:t xml:space="preserve">пунктом 2(3)</w:t>
        </w:r>
      </w:hyperlink>
      <w:r>
        <w:rPr>
          <w:sz w:val="24"/>
        </w:rPr>
        <w:t xml:space="preserve"> формы (для основного объекта проекта).</w:t>
      </w:r>
    </w:p>
    <w:bookmarkStart w:id="1261" w:name="P1261"/>
    <w:bookmarkEnd w:id="1261"/>
    <w:p>
      <w:pPr>
        <w:pStyle w:val="0"/>
        <w:spacing w:before="240" w:line-rule="auto"/>
        <w:ind w:firstLine="540"/>
        <w:jc w:val="both"/>
      </w:pPr>
      <w:r>
        <w:rPr>
          <w:sz w:val="24"/>
        </w:rPr>
        <w:t xml:space="preserve">&lt;16&gt; Без учета задолженности по кредитам (займам) и процентам по ним, уплаченным с нарушением установленного графика.</w:t>
      </w:r>
    </w:p>
    <w:bookmarkStart w:id="1262" w:name="P1262"/>
    <w:bookmarkEnd w:id="1262"/>
    <w:p>
      <w:pPr>
        <w:pStyle w:val="0"/>
        <w:spacing w:before="240" w:line-rule="auto"/>
        <w:ind w:firstLine="540"/>
        <w:jc w:val="both"/>
      </w:pPr>
      <w:r>
        <w:rPr>
          <w:sz w:val="24"/>
        </w:rPr>
        <w:t xml:space="preserve">&lt;17&gt; Расчетный период - период, в котором показатели, указанные в </w:t>
      </w:r>
      <w:hyperlink w:history="0" w:anchor="P1090" w:tooltip="2">
        <w:r>
          <w:rPr>
            <w:sz w:val="24"/>
            <w:color w:val="0000ff"/>
          </w:rPr>
          <w:t xml:space="preserve">графах 2</w:t>
        </w:r>
      </w:hyperlink>
      <w:r>
        <w:rPr>
          <w:sz w:val="24"/>
        </w:rPr>
        <w:t xml:space="preserve">, </w:t>
      </w:r>
      <w:hyperlink w:history="0" w:anchor="P1092" w:tooltip="4">
        <w:r>
          <w:rPr>
            <w:sz w:val="24"/>
            <w:color w:val="0000ff"/>
          </w:rPr>
          <w:t xml:space="preserve">4</w:t>
        </w:r>
      </w:hyperlink>
      <w:r>
        <w:rPr>
          <w:sz w:val="24"/>
        </w:rPr>
        <w:t xml:space="preserve">, </w:t>
      </w:r>
      <w:hyperlink w:history="0" w:anchor="P1093" w:tooltip="5">
        <w:r>
          <w:rPr>
            <w:sz w:val="24"/>
            <w:color w:val="0000ff"/>
          </w:rPr>
          <w:t xml:space="preserve">5</w:t>
        </w:r>
      </w:hyperlink>
      <w:r>
        <w:rPr>
          <w:sz w:val="24"/>
        </w:rPr>
        <w:t xml:space="preserve"> и </w:t>
      </w:r>
      <w:hyperlink w:history="0" w:anchor="P1094" w:tooltip="6">
        <w:r>
          <w:rPr>
            <w:sz w:val="24"/>
            <w:color w:val="0000ff"/>
          </w:rPr>
          <w:t xml:space="preserve">6</w:t>
        </w:r>
      </w:hyperlink>
      <w:r>
        <w:rPr>
          <w:sz w:val="24"/>
        </w:rPr>
        <w:t xml:space="preserve">, неизменны.</w:t>
      </w:r>
    </w:p>
    <w:bookmarkStart w:id="1263" w:name="P1263"/>
    <w:bookmarkEnd w:id="1263"/>
    <w:p>
      <w:pPr>
        <w:pStyle w:val="0"/>
        <w:spacing w:before="240" w:line-rule="auto"/>
        <w:ind w:firstLine="540"/>
        <w:jc w:val="both"/>
      </w:pPr>
      <w:r>
        <w:rPr>
          <w:sz w:val="24"/>
        </w:rPr>
        <w:t xml:space="preserve">&lt;18&gt; Показатель F1, X1 или H1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пунктом 2(1)</w:t>
        </w:r>
      </w:hyperlink>
      <w:r>
        <w:rPr>
          <w:sz w:val="24"/>
        </w:rPr>
        <w:t xml:space="preserve">, </w:t>
      </w:r>
      <w:hyperlink w:history="0" w:anchor="P708" w:tooltip="2(2). Объем фактически понесенных затрат на объекты сопутствующей инфраструктуры (Cинф соп) определяется по формуле:">
        <w:r>
          <w:rPr>
            <w:sz w:val="24"/>
            <w:color w:val="0000ff"/>
          </w:rPr>
          <w:t xml:space="preserve">2(2)</w:t>
        </w:r>
      </w:hyperlink>
      <w:r>
        <w:rPr>
          <w:sz w:val="24"/>
        </w:rPr>
        <w:t xml:space="preserve"> или </w:t>
      </w:r>
      <w:hyperlink w:history="0" w:anchor="P724" w:tooltip="2(3). Объем фактически понесенных затрат на уплату процентов на инвестиционной стадии (Cис) определяется по формуле:">
        <w:r>
          <w:rPr>
            <w:sz w:val="24"/>
            <w:color w:val="0000ff"/>
          </w:rPr>
          <w:t xml:space="preserve">2(3)</w:t>
        </w:r>
      </w:hyperlink>
      <w:r>
        <w:rPr>
          <w:sz w:val="24"/>
        </w:rPr>
        <w:t xml:space="preserve"> формы в зависимости от типа объекта, указанного в </w:t>
      </w:r>
      <w:hyperlink w:history="0" w:anchor="P799" w:tooltip="1. Объем мер прямой государственной поддержки (если применимо) ____________________________ (рублей)">
        <w:r>
          <w:rPr>
            <w:sz w:val="24"/>
            <w:color w:val="0000ff"/>
          </w:rPr>
          <w:t xml:space="preserve">пункте 1</w:t>
        </w:r>
      </w:hyperlink>
      <w:r>
        <w:rPr>
          <w:sz w:val="24"/>
        </w:rPr>
        <w:t xml:space="preserve"> расчета объема фактически понесенных затрат на уплату процентов по кредиту (займу), полученному в иностранной валюте.</w:t>
      </w:r>
    </w:p>
    <w:bookmarkStart w:id="1264" w:name="P1264"/>
    <w:bookmarkEnd w:id="1264"/>
    <w:p>
      <w:pPr>
        <w:pStyle w:val="0"/>
        <w:spacing w:before="240" w:line-rule="auto"/>
        <w:ind w:firstLine="540"/>
        <w:jc w:val="both"/>
      </w:pPr>
      <w:r>
        <w:rPr>
          <w:sz w:val="24"/>
        </w:rPr>
        <w:t xml:space="preserve">&lt;19&gt; Расчет объема фактически понесенных затрат на уплату купонного дохода по облигационным займам представляется отдельно в отношении каждого объекта инфраструктуры и (или) основного проекта.</w:t>
      </w:r>
    </w:p>
    <w:bookmarkStart w:id="1265" w:name="P1265"/>
    <w:bookmarkEnd w:id="1265"/>
    <w:p>
      <w:pPr>
        <w:pStyle w:val="0"/>
        <w:spacing w:before="240" w:line-rule="auto"/>
        <w:ind w:firstLine="540"/>
        <w:jc w:val="both"/>
      </w:pPr>
      <w:r>
        <w:rPr>
          <w:sz w:val="24"/>
        </w:rPr>
        <w:t xml:space="preserve">&lt;20&gt; В зависимости от типа объекта указывается период в соответствии с </w:t>
      </w:r>
      <w:hyperlink w:history="0" w:anchor="P692" w:tooltip="2(1). Объем фактически понесенных затрат на объекты обеспечивающей инфраструктуры (Cинф обесп) определяется по формуле:">
        <w:r>
          <w:rPr>
            <w:sz w:val="24"/>
            <w:color w:val="0000ff"/>
          </w:rPr>
          <w:t xml:space="preserve">пунктами 2(1)</w:t>
        </w:r>
      </w:hyperlink>
      <w:r>
        <w:rPr>
          <w:sz w:val="24"/>
        </w:rPr>
        <w:t xml:space="preserve"> и </w:t>
      </w:r>
      <w:hyperlink w:history="0" w:anchor="P708" w:tooltip="2(2). Объем фактически понесенных затрат на объекты сопутствующей инфраструктуры (Cинф соп) определяется по формуле:">
        <w:r>
          <w:rPr>
            <w:sz w:val="24"/>
            <w:color w:val="0000ff"/>
          </w:rPr>
          <w:t xml:space="preserve">2(2)</w:t>
        </w:r>
      </w:hyperlink>
      <w:r>
        <w:rPr>
          <w:sz w:val="24"/>
        </w:rPr>
        <w:t xml:space="preserve"> формы (для объектов инфраструктуры) или в соответствии с </w:t>
      </w:r>
      <w:hyperlink w:history="0" w:anchor="P724" w:tooltip="2(3). Объем фактически понесенных затрат на уплату процентов на инвестиционной стадии (Cис) определяется по формуле:">
        <w:r>
          <w:rPr>
            <w:sz w:val="24"/>
            <w:color w:val="0000ff"/>
          </w:rPr>
          <w:t xml:space="preserve">пунктом 2(3)</w:t>
        </w:r>
      </w:hyperlink>
      <w:r>
        <w:rPr>
          <w:sz w:val="24"/>
        </w:rPr>
        <w:t xml:space="preserve"> формы (для основного объекта проекта).</w:t>
      </w:r>
    </w:p>
    <w:bookmarkStart w:id="1266" w:name="P1266"/>
    <w:bookmarkEnd w:id="1266"/>
    <w:p>
      <w:pPr>
        <w:pStyle w:val="0"/>
        <w:spacing w:before="240" w:line-rule="auto"/>
        <w:ind w:firstLine="540"/>
        <w:jc w:val="both"/>
      </w:pPr>
      <w:r>
        <w:rPr>
          <w:sz w:val="24"/>
        </w:rPr>
        <w:t xml:space="preserve">&lt;21&gt; Рассчитывается в соответствии с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 октября 2020 г. N 1599</w:t>
      </w:r>
    </w:p>
    <w:p>
      <w:pPr>
        <w:pStyle w:val="0"/>
        <w:jc w:val="both"/>
      </w:pPr>
      <w:r>
        <w:rPr>
          <w:sz w:val="24"/>
        </w:rPr>
      </w:r>
    </w:p>
    <w:bookmarkStart w:id="1277" w:name="P1277"/>
    <w:bookmarkEnd w:id="1277"/>
    <w:p>
      <w:pPr>
        <w:pStyle w:val="2"/>
        <w:jc w:val="center"/>
      </w:pPr>
      <w:r>
        <w:rPr>
          <w:sz w:val="24"/>
        </w:rPr>
        <w:t xml:space="preserve">ОБЩИЕ ТРЕБОВАНИЯ</w:t>
      </w:r>
    </w:p>
    <w:p>
      <w:pPr>
        <w:pStyle w:val="2"/>
        <w:jc w:val="center"/>
      </w:pPr>
      <w:r>
        <w:rPr>
          <w:sz w:val="24"/>
        </w:rPr>
        <w:t xml:space="preserve">К НОРМАТИВНЫМ ПРАВОВЫМ АКТАМ, РЕГУЛИРУЮЩИМ ПРЕДОСТАВЛЕНИЕ</w:t>
      </w:r>
    </w:p>
    <w:p>
      <w:pPr>
        <w:pStyle w:val="2"/>
        <w:jc w:val="center"/>
      </w:pPr>
      <w:r>
        <w:rPr>
          <w:sz w:val="24"/>
        </w:rPr>
        <w:t xml:space="preserve">СУБСИДИЙ ИЗ БЮДЖЕТОВ СУБЪЕКТОВ РОССИЙСКОЙ ФЕДЕРАЦИИ</w:t>
      </w:r>
    </w:p>
    <w:p>
      <w:pPr>
        <w:pStyle w:val="2"/>
        <w:jc w:val="center"/>
      </w:pPr>
      <w:r>
        <w:rPr>
          <w:sz w:val="24"/>
        </w:rPr>
        <w:t xml:space="preserve">ОРГАНИЗАЦИЯМ, РЕАЛИЗУЮЩИМ ПРОЕКТЫ, В РАМКАХ ОСУЩЕСТВЛЕНИЯ</w:t>
      </w:r>
    </w:p>
    <w:p>
      <w:pPr>
        <w:pStyle w:val="2"/>
        <w:jc w:val="center"/>
      </w:pPr>
      <w:r>
        <w:rPr>
          <w:sz w:val="24"/>
        </w:rPr>
        <w:t xml:space="preserve">ИНВЕСТИЦИОННЫХ ПРОЕКТОВ, В ОТНОШЕНИИ КОТОРЫХ ЗАКЛЮЧЕНЫ</w:t>
      </w:r>
    </w:p>
    <w:p>
      <w:pPr>
        <w:pStyle w:val="2"/>
        <w:jc w:val="center"/>
      </w:pPr>
      <w:r>
        <w:rPr>
          <w:sz w:val="24"/>
        </w:rPr>
        <w:t xml:space="preserve">СОГЛАШЕНИЯ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05.12.2022 </w:t>
            </w:r>
            <w:r>
              <w:rPr>
                <w:sz w:val="24"/>
                <w:color w:val="392c69"/>
              </w:rPr>
              <w:t xml:space="preserve">N 2232</w:t>
            </w:r>
            <w:r>
              <w:rPr>
                <w:sz w:val="24"/>
                <w:color w:val="392c69"/>
              </w:rPr>
              <w:t xml:space="preserve">,</w:t>
            </w:r>
          </w:p>
          <w:p>
            <w:pPr>
              <w:pStyle w:val="0"/>
              <w:jc w:val="center"/>
            </w:pPr>
            <w:r>
              <w:rPr>
                <w:sz w:val="24"/>
                <w:color w:val="392c69"/>
              </w:rPr>
              <w:t xml:space="preserve">от 14.12.2024 </w:t>
            </w:r>
            <w:r>
              <w:rPr>
                <w:sz w:val="24"/>
                <w:color w:val="392c69"/>
              </w:rPr>
              <w:t xml:space="preserve">N 1789</w:t>
            </w:r>
            <w:r>
              <w:rPr>
                <w:sz w:val="24"/>
                <w:color w:val="392c69"/>
              </w:rPr>
              <w:t xml:space="preserve">, от 27.10.2025 </w:t>
            </w:r>
            <w:r>
              <w:rPr>
                <w:sz w:val="24"/>
                <w:color w:val="392c69"/>
              </w:rPr>
              <w:t xml:space="preserve">N 1664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документ определяет общие требования к нормативным правовым актам, регулирующим предоставление субсидий из бюджетов субъектов Российской Федерации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 (далее - субсидия), а также к порядку возмещения субъектами Российской Федерации затрат, указанных в </w:t>
      </w:r>
      <w:r>
        <w:rPr>
          <w:sz w:val="24"/>
        </w:rPr>
        <w:t xml:space="preserve">части 1 статьи 15</w:t>
      </w:r>
      <w:r>
        <w:rPr>
          <w:sz w:val="24"/>
        </w:rPr>
        <w:t xml:space="preserve"> Федерального закона "О защите и поощрении капиталовложений в Российской Федерации" (далее - Федеральный закон),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предусмотренному </w:t>
      </w:r>
      <w:r>
        <w:rPr>
          <w:sz w:val="24"/>
        </w:rPr>
        <w:t xml:space="preserve">пунктом 5 части 7 статьи 4</w:t>
      </w:r>
      <w:r>
        <w:rPr>
          <w:sz w:val="24"/>
        </w:rPr>
        <w:t xml:space="preserve"> Федерального закона (далее - правовые акты).</w:t>
      </w:r>
    </w:p>
    <w:p>
      <w:pPr>
        <w:pStyle w:val="0"/>
        <w:spacing w:before="240" w:line-rule="auto"/>
        <w:ind w:firstLine="540"/>
        <w:jc w:val="both"/>
      </w:pPr>
      <w:r>
        <w:rPr>
          <w:sz w:val="24"/>
        </w:rPr>
        <w:t xml:space="preserve">2. В настоящем документе используются понятия, установленные Федеральным законом, а также определения, установленные </w:t>
      </w:r>
      <w:hyperlink w:history="0" w:anchor="P51" w:tooltip="ПРАВИЛА">
        <w:r>
          <w:rPr>
            <w:sz w:val="24"/>
            <w:color w:val="0000ff"/>
          </w:rPr>
          <w:t xml:space="preserve">Правилами</w:t>
        </w:r>
      </w:hyperlink>
      <w:r>
        <w:rPr>
          <w:sz w:val="24"/>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N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 возмещения затрат).</w:t>
      </w:r>
    </w:p>
    <w:p>
      <w:pPr>
        <w:pStyle w:val="0"/>
        <w:jc w:val="both"/>
      </w:pPr>
      <w:r>
        <w:rPr>
          <w:sz w:val="24"/>
        </w:rPr>
        <w:t xml:space="preserve">(п. 2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3. Правовые акты содержат следующие положения:</w:t>
      </w:r>
    </w:p>
    <w:p>
      <w:pPr>
        <w:pStyle w:val="0"/>
        <w:spacing w:before="240" w:line-rule="auto"/>
        <w:ind w:firstLine="540"/>
        <w:jc w:val="both"/>
      </w:pPr>
      <w:r>
        <w:rPr>
          <w:sz w:val="24"/>
        </w:rPr>
        <w:t xml:space="preserve">а) общие положения о предоставлении субсидии;</w:t>
      </w:r>
    </w:p>
    <w:p>
      <w:pPr>
        <w:pStyle w:val="0"/>
        <w:spacing w:before="240" w:line-rule="auto"/>
        <w:ind w:firstLine="540"/>
        <w:jc w:val="both"/>
      </w:pPr>
      <w:r>
        <w:rPr>
          <w:sz w:val="24"/>
        </w:rPr>
        <w:t xml:space="preserve">б) условия и порядок получения субсидии;</w:t>
      </w:r>
    </w:p>
    <w:p>
      <w:pPr>
        <w:pStyle w:val="0"/>
        <w:spacing w:before="240" w:line-rule="auto"/>
        <w:ind w:firstLine="540"/>
        <w:jc w:val="both"/>
      </w:pPr>
      <w:r>
        <w:rPr>
          <w:sz w:val="24"/>
        </w:rPr>
        <w:t xml:space="preserve">в) требования к отчетности;</w:t>
      </w:r>
    </w:p>
    <w:p>
      <w:pPr>
        <w:pStyle w:val="0"/>
        <w:spacing w:before="240" w:line-rule="auto"/>
        <w:ind w:firstLine="540"/>
        <w:jc w:val="both"/>
      </w:pPr>
      <w:r>
        <w:rPr>
          <w:sz w:val="24"/>
        </w:rPr>
        <w:t xml:space="preserve">г) требования к осуществлению контроля (мониторинга) за соблюдением условий и порядка предоставления субсидии и ответственности за их нарушение.</w:t>
      </w:r>
    </w:p>
    <w:p>
      <w:pPr>
        <w:pStyle w:val="0"/>
        <w:spacing w:before="240" w:line-rule="auto"/>
        <w:ind w:firstLine="540"/>
        <w:jc w:val="both"/>
      </w:pPr>
      <w:r>
        <w:rPr>
          <w:sz w:val="24"/>
        </w:rPr>
        <w:t xml:space="preserve">4. В целях определения общих положений о предоставлении субсидии в правовом акте указываются:</w:t>
      </w:r>
    </w:p>
    <w:p>
      <w:pPr>
        <w:pStyle w:val="0"/>
        <w:spacing w:before="240" w:line-rule="auto"/>
        <w:ind w:firstLine="540"/>
        <w:jc w:val="both"/>
      </w:pPr>
      <w:r>
        <w:rPr>
          <w:sz w:val="24"/>
        </w:rPr>
        <w:t xml:space="preserve">а) понятия, используемые для целей правового акта;</w:t>
      </w:r>
    </w:p>
    <w:p>
      <w:pPr>
        <w:pStyle w:val="0"/>
        <w:spacing w:before="240" w:line-rule="auto"/>
        <w:ind w:firstLine="540"/>
        <w:jc w:val="both"/>
      </w:pPr>
      <w:r>
        <w:rPr>
          <w:sz w:val="24"/>
        </w:rPr>
        <w:t xml:space="preserve">б) цель предоставления субсидии - реализация проекта, являющегося предметом соглашения о защите и поощрении капиталовложений;</w:t>
      </w:r>
    </w:p>
    <w:p>
      <w:pPr>
        <w:pStyle w:val="0"/>
        <w:spacing w:before="240" w:line-rule="auto"/>
        <w:ind w:firstLine="540"/>
        <w:jc w:val="both"/>
      </w:pPr>
      <w:r>
        <w:rPr>
          <w:sz w:val="24"/>
        </w:rPr>
        <w:t xml:space="preserve">в) наименование органа государственной власти (государственного органа), осуществляющего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(далее - главный распорядитель как получатель бюджетных средств);</w:t>
      </w:r>
    </w:p>
    <w:p>
      <w:pPr>
        <w:pStyle w:val="0"/>
        <w:spacing w:before="240" w:line-rule="auto"/>
        <w:ind w:firstLine="540"/>
        <w:jc w:val="both"/>
      </w:pPr>
      <w:r>
        <w:rPr>
          <w:sz w:val="24"/>
        </w:rPr>
        <w:t xml:space="preserve">г) информация о получателе субсидии;</w:t>
      </w:r>
    </w:p>
    <w:p>
      <w:pPr>
        <w:pStyle w:val="0"/>
        <w:spacing w:before="240" w:line-rule="auto"/>
        <w:ind w:firstLine="540"/>
        <w:jc w:val="both"/>
      </w:pPr>
      <w:r>
        <w:rPr>
          <w:sz w:val="24"/>
        </w:rPr>
        <w:t xml:space="preserve">д) срок, на который заключается соглашение о предоставлении субсидии.</w:t>
      </w:r>
    </w:p>
    <w:p>
      <w:pPr>
        <w:pStyle w:val="0"/>
        <w:spacing w:before="240" w:line-rule="auto"/>
        <w:ind w:firstLine="540"/>
        <w:jc w:val="both"/>
      </w:pPr>
      <w:r>
        <w:rPr>
          <w:sz w:val="24"/>
        </w:rPr>
        <w:t xml:space="preserve">5. При определении условий и порядка предоставления субсидий в правовом акте указывается следующая информация:</w:t>
      </w:r>
    </w:p>
    <w:p>
      <w:pPr>
        <w:pStyle w:val="0"/>
        <w:spacing w:before="240" w:line-rule="auto"/>
        <w:ind w:firstLine="540"/>
        <w:jc w:val="both"/>
      </w:pPr>
      <w:r>
        <w:rPr>
          <w:sz w:val="24"/>
        </w:rPr>
        <w:t xml:space="preserve">а) направление затрат, на возмещение которых предоставляется субсидия;</w:t>
      </w:r>
    </w:p>
    <w:p>
      <w:pPr>
        <w:pStyle w:val="0"/>
        <w:spacing w:before="240" w:line-rule="auto"/>
        <w:ind w:firstLine="540"/>
        <w:jc w:val="both"/>
      </w:pPr>
      <w:r>
        <w:rPr>
          <w:sz w:val="24"/>
        </w:rPr>
        <w:t xml:space="preserve">б)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результата предоставления субсидии). Расчет объема возмещения затрат, указанных в </w:t>
      </w:r>
      <w:r>
        <w:rPr>
          <w:sz w:val="24"/>
        </w:rPr>
        <w:t xml:space="preserve">части 1 статьи 15</w:t>
      </w:r>
      <w:r>
        <w:rPr>
          <w:sz w:val="24"/>
        </w:rPr>
        <w:t xml:space="preserve"> Федерального закона, понесенных организацией, реализующей проект, в рамках осуществления проекта, в отношении которого заключено соглашение о защите и поощрении капиталовложений, из бюджета субъекта Российской Федерации осуществляется в соответствии с </w:t>
      </w:r>
      <w:hyperlink w:history="0" w:anchor="P666" w:tooltip="ФОРМА РАСЧЕТА">
        <w:r>
          <w:rPr>
            <w:sz w:val="24"/>
            <w:color w:val="0000ff"/>
          </w:rPr>
          <w:t xml:space="preserve">приложением N 2</w:t>
        </w:r>
      </w:hyperlink>
      <w:r>
        <w:rPr>
          <w:sz w:val="24"/>
        </w:rPr>
        <w:t xml:space="preserve"> к Правилам возмещения затрат.</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В случае предоставления мер прямой государственной поддержки в отношении проекта возмещение затрат, предусмотренных </w:t>
      </w:r>
      <w:r>
        <w:rPr>
          <w:sz w:val="24"/>
        </w:rPr>
        <w:t xml:space="preserve">частью 1 статьи 15</w:t>
      </w:r>
      <w:r>
        <w:rPr>
          <w:sz w:val="24"/>
        </w:rPr>
        <w:t xml:space="preserve"> Федерального закона, может осуществляться в размере, не превышающем предельный объем таких затрат, определенный в соответствии с </w:t>
      </w:r>
      <w:r>
        <w:rPr>
          <w:sz w:val="24"/>
        </w:rPr>
        <w:t xml:space="preserve">частью 4 статьи 15</w:t>
      </w:r>
      <w:r>
        <w:rPr>
          <w:sz w:val="24"/>
        </w:rPr>
        <w:t xml:space="preserve"> Федерального закона, за вычетом предоставленных мер прямой государственной поддержки;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14.12.2024 N 1789;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в) перечень документов, представляемых получателем субсидии в целях заключения соглашения о предоставлении субсидии, включающий документы, указанные в </w:t>
      </w:r>
      <w:hyperlink w:history="0" w:anchor="P280" w:tooltip="26. В целях возмещения затрат организация, реализующая проект, не позднее 3 лет со дня, когда все имущественные права, возникшие в рамках реализации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
        <w:r>
          <w:rPr>
            <w:sz w:val="24"/>
            <w:color w:val="0000ff"/>
          </w:rPr>
          <w:t xml:space="preserve">пункте 26</w:t>
        </w:r>
      </w:hyperlink>
      <w:r>
        <w:rPr>
          <w:sz w:val="24"/>
        </w:rPr>
        <w:t xml:space="preserve"> Правил возмещения затрат, а также при необходимости требования к указанным документам;</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bookmarkStart w:id="1309" w:name="P1309"/>
    <w:bookmarkEnd w:id="1309"/>
    <w:p>
      <w:pPr>
        <w:pStyle w:val="0"/>
        <w:spacing w:before="240" w:line-rule="auto"/>
        <w:ind w:firstLine="540"/>
        <w:jc w:val="both"/>
      </w:pPr>
      <w:r>
        <w:rPr>
          <w:sz w:val="24"/>
        </w:rPr>
        <w:t xml:space="preserve">г) требования, которым должен соответствовать получатель субсидии:</w:t>
      </w:r>
    </w:p>
    <w:p>
      <w:pPr>
        <w:pStyle w:val="0"/>
        <w:spacing w:before="240" w:line-rule="auto"/>
        <w:ind w:firstLine="540"/>
        <w:jc w:val="both"/>
      </w:pPr>
      <w:r>
        <w:rPr>
          <w:sz w:val="24"/>
        </w:rPr>
        <w:t xml:space="preserve">у получателя субсидии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ввозных таможенных пошлин, подлежащих уплате в соответствии с правом Евразийского экономического союза, законодательством Российской Федерации о таможенном регулировании;</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у получателя субсидии отсутствует просроченная (неурегулированная) задолженность по денежным обязательствам перед соответствующим субъектом Российской Федерации, из бюджета которого планируется предоставление субсидии, бюджетных инвестиций (за исключением случаев, установленных органом государственной власти субъекта Российской Федерации);</w:t>
      </w:r>
    </w:p>
    <w:p>
      <w:pPr>
        <w:pStyle w:val="0"/>
        <w:spacing w:before="240" w:line-rule="auto"/>
        <w:ind w:firstLine="540"/>
        <w:jc w:val="both"/>
      </w:pPr>
      <w:r>
        <w:rPr>
          <w:sz w:val="24"/>
        </w:rPr>
        <w:t xml:space="preserve">получатель субсидии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организация, реализующая проект, соответствует требованию, указанному в </w:t>
      </w:r>
      <w:r>
        <w:rPr>
          <w:sz w:val="24"/>
        </w:rPr>
        <w:t xml:space="preserve">части 1.1 статьи 15</w:t>
      </w:r>
      <w:r>
        <w:rPr>
          <w:sz w:val="24"/>
        </w:rPr>
        <w:t xml:space="preserve"> Федерального закона;</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14.12.2024 N 1789;</w:t>
      </w:r>
    </w:p>
    <w:p>
      <w:pPr>
        <w:pStyle w:val="0"/>
        <w:spacing w:before="240" w:line-rule="auto"/>
        <w:ind w:firstLine="540"/>
        <w:jc w:val="both"/>
      </w:pPr>
      <w:r>
        <w:rPr>
          <w:sz w:val="24"/>
        </w:rPr>
        <w:t xml:space="preserve">получатель субсидии является стороной соглашения о защите и поощрении капиталовложений;</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pPr>
        <w:pStyle w:val="0"/>
        <w:spacing w:before="240" w:line-rule="auto"/>
        <w:ind w:firstLine="540"/>
        <w:jc w:val="both"/>
      </w:pPr>
      <w:r>
        <w:rPr>
          <w:sz w:val="24"/>
        </w:rPr>
        <w:t xml:space="preserve">д) дата, на которую получатель субсидии должен соответствовать требованиям, указанным в </w:t>
      </w:r>
      <w:hyperlink w:history="0" w:anchor="P1309" w:tooltip="г) требования, которым должен соответствовать получатель субсидии:">
        <w:r>
          <w:rPr>
            <w:sz w:val="24"/>
            <w:color w:val="0000ff"/>
          </w:rPr>
          <w:t xml:space="preserve">подпункте "г"</w:t>
        </w:r>
      </w:hyperlink>
      <w:r>
        <w:rPr>
          <w:sz w:val="24"/>
        </w:rPr>
        <w:t xml:space="preserve"> настоящего пункта, а также порядок проведения проверки получателя субсидии на соответствие указанным требованиям;</w:t>
      </w:r>
    </w:p>
    <w:bookmarkStart w:id="1321" w:name="P1321"/>
    <w:bookmarkEnd w:id="1321"/>
    <w:p>
      <w:pPr>
        <w:pStyle w:val="0"/>
        <w:spacing w:before="240" w:line-rule="auto"/>
        <w:ind w:firstLine="540"/>
        <w:jc w:val="both"/>
      </w:pPr>
      <w:r>
        <w:rPr>
          <w:sz w:val="24"/>
        </w:rPr>
        <w:t xml:space="preserve">е) требования к проекту, включающие:</w:t>
      </w:r>
    </w:p>
    <w:p>
      <w:pPr>
        <w:pStyle w:val="0"/>
        <w:spacing w:before="240" w:line-rule="auto"/>
        <w:ind w:firstLine="540"/>
        <w:jc w:val="both"/>
      </w:pPr>
      <w:r>
        <w:rPr>
          <w:sz w:val="24"/>
        </w:rPr>
        <w:t xml:space="preserve">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с указанием конечных балансодержателей созданных объектов инфраструктуры;</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факт государственной регистрации имущественных прав на все основные объекты проекта (в применимых случаях и на объекты инфраструктуры), в том числе прав на результаты интеллектуальной деятельности и приравненные к ним средства индивидуализации (в применимых случаях);</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факт ввода в эксплуатацию всех основных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сведения о передаче объектов инфраструктуры на баланс регулируемой организации или публично-правового образования (в применимых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сведения об осуществлении затрат организацией, реализующей проект, в полном объеме на цели, указанные в правовом акте;</w:t>
      </w:r>
    </w:p>
    <w:p>
      <w:pPr>
        <w:pStyle w:val="0"/>
        <w:spacing w:before="240" w:line-rule="auto"/>
        <w:ind w:firstLine="540"/>
        <w:jc w:val="both"/>
      </w:pPr>
      <w:r>
        <w:rPr>
          <w:sz w:val="24"/>
        </w:rPr>
        <w:t xml:space="preserve">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правовым актом;</w:t>
      </w:r>
    </w:p>
    <w:p>
      <w:pPr>
        <w:pStyle w:val="0"/>
        <w:spacing w:before="240" w:line-rule="auto"/>
        <w:ind w:firstLine="540"/>
        <w:jc w:val="both"/>
      </w:pPr>
      <w:r>
        <w:rPr>
          <w:sz w:val="24"/>
        </w:rPr>
        <w:t xml:space="preserve">отсутствие в инвестиционных программах регулируемых организаций (за исключением случая, указанного в </w:t>
      </w:r>
      <w:r>
        <w:rPr>
          <w:sz w:val="24"/>
        </w:rPr>
        <w:t xml:space="preserve">части 20 статьи 15</w:t>
      </w:r>
      <w:r>
        <w:rPr>
          <w:sz w:val="24"/>
        </w:rP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pPr>
        <w:pStyle w:val="0"/>
        <w:spacing w:before="240" w:line-rule="auto"/>
        <w:ind w:firstLine="540"/>
        <w:jc w:val="both"/>
      </w:pPr>
      <w:r>
        <w:rPr>
          <w:sz w:val="24"/>
        </w:rPr>
        <w:t xml:space="preserve">факт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проекта, передаваемых в государственную (муниципальную) собственность или поступающих в собственность регулируемой организации, в соответствии с </w:t>
      </w:r>
      <w:r>
        <w:rPr>
          <w:sz w:val="24"/>
        </w:rPr>
        <w:t xml:space="preserve">частью 18 статьи 15</w:t>
      </w:r>
      <w:r>
        <w:rPr>
          <w:sz w:val="24"/>
        </w:rPr>
        <w:t xml:space="preserve"> Федерального закона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в случае создания объекта инфраструктуры на основании </w:t>
      </w:r>
      <w:r>
        <w:rPr>
          <w:sz w:val="24"/>
        </w:rPr>
        <w:t xml:space="preserve">части 20 статьи 15</w:t>
      </w:r>
      <w:r>
        <w:rPr>
          <w:sz w:val="24"/>
        </w:rPr>
        <w:t xml:space="preserve">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pPr>
        <w:pStyle w:val="0"/>
        <w:spacing w:before="240" w:line-rule="auto"/>
        <w:ind w:firstLine="540"/>
        <w:jc w:val="both"/>
      </w:pPr>
      <w:r>
        <w:rPr>
          <w:sz w:val="24"/>
        </w:rPr>
        <w:t xml:space="preserve">представление положительных заключений о проведении государственной экспертизы проектной документации и проверки достоверности определения сметной стоимости объектов проекта, и (или) объектов инфраструктуры, и (или) демонтажа объектов, расположенных на территориях военных городков (в части жилищного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представление положительного заключения о проведении технологического аудита объектов недвижимости и линейных объектов, созданных (построенных) либо реконструированных в рамках проекта, затраты в отношении которых планируется возместить в соответствии с </w:t>
      </w:r>
      <w:r>
        <w:rPr>
          <w:sz w:val="24"/>
        </w:rPr>
        <w:t xml:space="preserve">пунктами 1</w:t>
      </w:r>
      <w:r>
        <w:rPr>
          <w:sz w:val="24"/>
        </w:rPr>
        <w:t xml:space="preserve"> - </w:t>
      </w:r>
      <w:r>
        <w:rPr>
          <w:sz w:val="24"/>
        </w:rPr>
        <w:t xml:space="preserve">3 части 1 статьи 15</w:t>
      </w:r>
      <w:r>
        <w:rPr>
          <w:sz w:val="24"/>
        </w:rPr>
        <w:t xml:space="preserve"> Федерального закона, выданного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в порядке, установленном </w:t>
      </w:r>
      <w:hyperlink w:history="0" w:anchor="P526" w:tooltip="ПРАВИЛА">
        <w:r>
          <w:rPr>
            <w:sz w:val="24"/>
            <w:color w:val="0000ff"/>
          </w:rPr>
          <w:t xml:space="preserve">приложением N 1(1)</w:t>
        </w:r>
      </w:hyperlink>
      <w:r>
        <w:rPr>
          <w:sz w:val="24"/>
        </w:rPr>
        <w:t xml:space="preserve"> к Правилам возмещения затрат;</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r>
        <w:rPr>
          <w:sz w:val="24"/>
        </w:rPr>
        <w:t xml:space="preserve">частью 6 статьи 49</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представление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r>
        <w:rPr>
          <w:sz w:val="24"/>
        </w:rPr>
        <w:t xml:space="preserve">частью 1 статьи 15</w:t>
      </w:r>
      <w:r>
        <w:rPr>
          <w:sz w:val="24"/>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r>
        <w:rPr>
          <w:sz w:val="24"/>
        </w:rPr>
        <w:t xml:space="preserve">частью 1 статьи 15</w:t>
      </w:r>
      <w:r>
        <w:rPr>
          <w:sz w:val="24"/>
        </w:rPr>
        <w:t xml:space="preserve"> Федерального закона;</w:t>
      </w:r>
    </w:p>
    <w:p>
      <w:pPr>
        <w:pStyle w:val="0"/>
        <w:spacing w:before="240" w:line-rule="auto"/>
        <w:ind w:firstLine="540"/>
        <w:jc w:val="both"/>
      </w:pPr>
      <w:r>
        <w:rPr>
          <w:sz w:val="24"/>
        </w:rPr>
        <w:t xml:space="preserve">представление заключения Федерального казначейства о фактически понесенных затратах, указанных в </w:t>
      </w:r>
      <w:r>
        <w:rPr>
          <w:sz w:val="24"/>
        </w:rPr>
        <w:t xml:space="preserve">части 1 статьи 15</w:t>
      </w:r>
      <w:r>
        <w:rPr>
          <w:sz w:val="24"/>
        </w:rPr>
        <w:t xml:space="preserve"> Федерального закона;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27.10.2025 N 1664)</w:t>
      </w:r>
    </w:p>
    <w:p>
      <w:pPr>
        <w:pStyle w:val="0"/>
        <w:spacing w:before="240" w:line-rule="auto"/>
        <w:ind w:firstLine="540"/>
        <w:jc w:val="both"/>
      </w:pPr>
      <w:r>
        <w:rPr>
          <w:sz w:val="24"/>
        </w:rPr>
        <w:t xml:space="preserve">выполнение условий, предусмотренных </w:t>
      </w:r>
      <w:r>
        <w:rPr>
          <w:sz w:val="24"/>
        </w:rPr>
        <w:t xml:space="preserve">пунктом 8.3 статьи 78</w:t>
      </w:r>
      <w:r>
        <w:rPr>
          <w:sz w:val="24"/>
        </w:rPr>
        <w:t xml:space="preserve"> Бюджетного кодекса Российской Федерации;</w:t>
      </w:r>
    </w:p>
    <w:p>
      <w:pPr>
        <w:pStyle w:val="0"/>
        <w:spacing w:before="240" w:line-rule="auto"/>
        <w:ind w:firstLine="540"/>
        <w:jc w:val="both"/>
      </w:pPr>
      <w:r>
        <w:rPr>
          <w:sz w:val="24"/>
        </w:rPr>
        <w:t xml:space="preserve">ж) порядок и сроки рассмотрения документов, включающие:</w:t>
      </w:r>
    </w:p>
    <w:p>
      <w:pPr>
        <w:pStyle w:val="0"/>
        <w:spacing w:before="240" w:line-rule="auto"/>
        <w:ind w:firstLine="540"/>
        <w:jc w:val="both"/>
      </w:pPr>
      <w:r>
        <w:rPr>
          <w:sz w:val="24"/>
        </w:rPr>
        <w:t xml:space="preserve">порядок подтверждения соответствия объектов инфраструктуры потребностям проекта;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порядок проверки отнесения объектов инфраструктуры к обеспечивающей или сопутствующей инфраструктуре, необходимой для реализации проекта;</w:t>
      </w:r>
    </w:p>
    <w:p>
      <w:pPr>
        <w:pStyle w:val="0"/>
        <w:jc w:val="both"/>
      </w:pPr>
      <w:r>
        <w:rPr>
          <w:sz w:val="24"/>
        </w:rPr>
        <w:t xml:space="preserve">(в ред. </w:t>
      </w:r>
      <w:r>
        <w:rPr>
          <w:sz w:val="24"/>
        </w:rPr>
        <w:t xml:space="preserve">Постановления</w:t>
      </w:r>
      <w:r>
        <w:rPr>
          <w:sz w:val="24"/>
        </w:rPr>
        <w:t xml:space="preserve"> Правительства РФ от 14.12.2024 N 1789)</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27.10.2025 N 1664;</w:t>
      </w:r>
    </w:p>
    <w:p>
      <w:pPr>
        <w:pStyle w:val="0"/>
        <w:spacing w:before="240" w:line-rule="auto"/>
        <w:ind w:firstLine="540"/>
        <w:jc w:val="both"/>
      </w:pPr>
      <w:r>
        <w:rPr>
          <w:sz w:val="24"/>
        </w:rPr>
        <w:t xml:space="preserve">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создания (строительства) либо реконструкции и (или) модернизации объектов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spacing w:before="240" w:line-rule="auto"/>
        <w:ind w:firstLine="540"/>
        <w:jc w:val="both"/>
      </w:pPr>
      <w:r>
        <w:rPr>
          <w:sz w:val="24"/>
        </w:rPr>
        <w:t xml:space="preserve">порядок проведения подтверждения факта наличия финансового обеспечения затрат, в том числе затрат на реконструкцию объектов, находящихся в государственной (муниципальной) собственности;</w:t>
      </w:r>
    </w:p>
    <w:p>
      <w:pPr>
        <w:pStyle w:val="0"/>
        <w:spacing w:before="240" w:line-rule="auto"/>
        <w:ind w:firstLine="540"/>
        <w:jc w:val="both"/>
      </w:pPr>
      <w:r>
        <w:rPr>
          <w:sz w:val="24"/>
        </w:rPr>
        <w:t xml:space="preserve">особенности учета исчисленных для уплаты налогов и иных обязательных платежей в связи с реализацией новых проектов;</w:t>
      </w:r>
    </w:p>
    <w:p>
      <w:pPr>
        <w:pStyle w:val="0"/>
        <w:jc w:val="both"/>
      </w:pPr>
      <w:r>
        <w:rPr>
          <w:sz w:val="24"/>
        </w:rPr>
        <w:t xml:space="preserve">(в ред. Постановлений Правительства РФ от 14.12.2024 </w:t>
      </w:r>
      <w:r>
        <w:rPr>
          <w:sz w:val="24"/>
        </w:rPr>
        <w:t xml:space="preserve">N 1789</w:t>
      </w:r>
      <w:r>
        <w:rPr>
          <w:sz w:val="24"/>
        </w:rPr>
        <w:t xml:space="preserve">, от 27.10.2025 </w:t>
      </w:r>
      <w:r>
        <w:rPr>
          <w:sz w:val="24"/>
        </w:rPr>
        <w:t xml:space="preserve">N 1664</w:t>
      </w:r>
      <w:r>
        <w:rPr>
          <w:sz w:val="24"/>
        </w:rPr>
        <w:t xml:space="preserve">)</w:t>
      </w:r>
    </w:p>
    <w:p>
      <w:pPr>
        <w:pStyle w:val="0"/>
        <w:spacing w:before="240" w:line-rule="auto"/>
        <w:ind w:firstLine="540"/>
        <w:jc w:val="both"/>
      </w:pPr>
      <w:r>
        <w:rPr>
          <w:sz w:val="24"/>
        </w:rPr>
        <w:t xml:space="preserve">иные механизмы и процедуры в целях реализации Федерального </w:t>
      </w:r>
      <w:r>
        <w:rPr>
          <w:sz w:val="24"/>
        </w:rPr>
        <w:t xml:space="preserve">закона</w:t>
      </w:r>
      <w:r>
        <w:rPr>
          <w:sz w:val="24"/>
        </w:rPr>
        <w:t xml:space="preserve">;</w:t>
      </w:r>
    </w:p>
    <w:p>
      <w:pPr>
        <w:pStyle w:val="0"/>
        <w:spacing w:before="240" w:line-rule="auto"/>
        <w:ind w:firstLine="540"/>
        <w:jc w:val="both"/>
      </w:pPr>
      <w:r>
        <w:rPr>
          <w:sz w:val="24"/>
        </w:rPr>
        <w:t xml:space="preserve">з) основания для отказа получателю субсидии в предоставлении субсидии, в том числе:</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определенным в соответствии с </w:t>
      </w:r>
      <w:hyperlink w:history="0" w:anchor="P1321" w:tooltip="е) требования к проекту, включающие:">
        <w:r>
          <w:rPr>
            <w:sz w:val="24"/>
            <w:color w:val="0000ff"/>
          </w:rPr>
          <w:t xml:space="preserve">подпунктом "е"</w:t>
        </w:r>
      </w:hyperlink>
      <w:r>
        <w:rPr>
          <w:sz w:val="24"/>
        </w:rPr>
        <w:t xml:space="preserve"> настоящего пункта,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и)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pPr>
        <w:pStyle w:val="0"/>
        <w:spacing w:before="240" w:line-rule="auto"/>
        <w:ind w:firstLine="540"/>
        <w:jc w:val="both"/>
      </w:pPr>
      <w:r>
        <w:rPr>
          <w:sz w:val="24"/>
        </w:rPr>
        <w:t xml:space="preserve">к) результат предоставления субсидии, предусмотренный </w:t>
      </w:r>
      <w:hyperlink w:history="0" w:anchor="P459" w:tooltip="37. Результатом предоставления субсидии являются:">
        <w:r>
          <w:rPr>
            <w:sz w:val="24"/>
            <w:color w:val="0000ff"/>
          </w:rPr>
          <w:t xml:space="preserve">пунктом 37</w:t>
        </w:r>
      </w:hyperlink>
      <w:r>
        <w:rPr>
          <w:sz w:val="24"/>
        </w:rPr>
        <w:t xml:space="preserve"> Правил возмещения затрат;</w:t>
      </w:r>
    </w:p>
    <w:p>
      <w:pPr>
        <w:pStyle w:val="0"/>
        <w:jc w:val="both"/>
      </w:pPr>
      <w:r>
        <w:rPr>
          <w:sz w:val="24"/>
        </w:rPr>
        <w:t xml:space="preserve">(пп. "к" 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л) сроки (периодичность) перечисления субсидии с учетом положений, установленных бюджетным законодательством Российской Федерации;</w:t>
      </w:r>
    </w:p>
    <w:p>
      <w:pPr>
        <w:pStyle w:val="0"/>
        <w:spacing w:before="240" w:line-rule="auto"/>
        <w:ind w:firstLine="540"/>
        <w:jc w:val="both"/>
      </w:pPr>
      <w:r>
        <w:rPr>
          <w:sz w:val="24"/>
        </w:rPr>
        <w:t xml:space="preserve">м) счета, на которые перечисляется субсидия, с учетом положений, установленных бюджетным законодательством Российской Федерации;</w:t>
      </w:r>
    </w:p>
    <w:p>
      <w:pPr>
        <w:pStyle w:val="0"/>
        <w:spacing w:before="240" w:line-rule="auto"/>
        <w:ind w:firstLine="540"/>
        <w:jc w:val="both"/>
      </w:pPr>
      <w:r>
        <w:rPr>
          <w:sz w:val="24"/>
        </w:rPr>
        <w:t xml:space="preserve">н) иная информация, определенная правовым актом (при необходимости).</w:t>
      </w:r>
    </w:p>
    <w:p>
      <w:pPr>
        <w:pStyle w:val="0"/>
        <w:spacing w:before="240" w:line-rule="auto"/>
        <w:ind w:firstLine="540"/>
        <w:jc w:val="both"/>
      </w:pPr>
      <w:r>
        <w:rPr>
          <w:sz w:val="24"/>
        </w:rPr>
        <w:t xml:space="preserve">6. Требования к отчетности предусматривают:</w:t>
      </w:r>
    </w:p>
    <w:p>
      <w:pPr>
        <w:pStyle w:val="0"/>
        <w:spacing w:before="240" w:line-rule="auto"/>
        <w:ind w:firstLine="540"/>
        <w:jc w:val="both"/>
      </w:pPr>
      <w:r>
        <w:rPr>
          <w:sz w:val="24"/>
        </w:rPr>
        <w:t xml:space="preserve">а) определение порядка и сроков представления получателем субсидии отчетности об использовании (планирования использования) в качестве источника финансирования мер прямой государственной поддержки деятельности организации, реализующей проект;</w:t>
      </w:r>
    </w:p>
    <w:p>
      <w:pPr>
        <w:pStyle w:val="0"/>
        <w:jc w:val="both"/>
      </w:pPr>
      <w:r>
        <w:rPr>
          <w:sz w:val="24"/>
        </w:rPr>
        <w:t xml:space="preserve">(в ред. </w:t>
      </w:r>
      <w:r>
        <w:rPr>
          <w:sz w:val="24"/>
        </w:rPr>
        <w:t xml:space="preserve">Постановления</w:t>
      </w:r>
      <w:r>
        <w:rPr>
          <w:sz w:val="24"/>
        </w:rPr>
        <w:t xml:space="preserve"> Правительства РФ от 27.10.2025 N 1664)</w:t>
      </w:r>
    </w:p>
    <w:p>
      <w:pPr>
        <w:pStyle w:val="0"/>
        <w:spacing w:before="240" w:line-rule="auto"/>
        <w:ind w:firstLine="540"/>
        <w:jc w:val="both"/>
      </w:pPr>
      <w:r>
        <w:rPr>
          <w:sz w:val="24"/>
        </w:rPr>
        <w:t xml:space="preserve">б) информацию об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 по формам и в сроки, которые устанавливаются в соглашении о предоставлении субсидии;</w:t>
      </w:r>
    </w:p>
    <w:p>
      <w:pPr>
        <w:pStyle w:val="0"/>
        <w:spacing w:before="240" w:line-rule="auto"/>
        <w:ind w:firstLine="540"/>
        <w:jc w:val="both"/>
      </w:pPr>
      <w:r>
        <w:rPr>
          <w:sz w:val="24"/>
        </w:rPr>
        <w:t xml:space="preserve">в) информацию о достижении значений результата предоставления субсидии по формам, определенным типовыми формами соглашений, установленными финансовыми органами субъектов Российской Федерации;</w:t>
      </w:r>
    </w:p>
    <w:p>
      <w:pPr>
        <w:pStyle w:val="0"/>
        <w:spacing w:before="240" w:line-rule="auto"/>
        <w:ind w:firstLine="540"/>
        <w:jc w:val="both"/>
      </w:pPr>
      <w:r>
        <w:rPr>
          <w:sz w:val="24"/>
        </w:rPr>
        <w:t xml:space="preserve">г) право главного распорядителя как получателя бюджетных средств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pPr>
        <w:pStyle w:val="0"/>
        <w:spacing w:before="240" w:line-rule="auto"/>
        <w:ind w:firstLine="540"/>
        <w:jc w:val="both"/>
      </w:pPr>
      <w:r>
        <w:rPr>
          <w:sz w:val="24"/>
        </w:rPr>
        <w:t xml:space="preserve">7. Требования к осуществлению контроля (мониторинга) за соблюдением условий и порядка предоставления субсидии и ответственности за их нарушение включают:</w:t>
      </w:r>
    </w:p>
    <w:p>
      <w:pPr>
        <w:pStyle w:val="0"/>
        <w:spacing w:before="240" w:line-rule="auto"/>
        <w:ind w:firstLine="540"/>
        <w:jc w:val="both"/>
      </w:pPr>
      <w:r>
        <w:rPr>
          <w:sz w:val="24"/>
        </w:rPr>
        <w:t xml:space="preserve">а) требование к проверке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требование к проверке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б) следующие меры ответственности за нарушение условий и порядка предоставления субсидий:</w:t>
      </w:r>
    </w:p>
    <w:p>
      <w:pPr>
        <w:pStyle w:val="0"/>
        <w:spacing w:before="240" w:line-rule="auto"/>
        <w:ind w:firstLine="540"/>
        <w:jc w:val="both"/>
      </w:pPr>
      <w:r>
        <w:rPr>
          <w:sz w:val="24"/>
        </w:rPr>
        <w:t xml:space="preserve">возврат средств субсидий в бюджет субъекта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финансового контроля;</w:t>
      </w:r>
    </w:p>
    <w:p>
      <w:pPr>
        <w:pStyle w:val="0"/>
        <w:spacing w:before="240" w:line-rule="auto"/>
        <w:ind w:firstLine="540"/>
        <w:jc w:val="both"/>
      </w:pPr>
      <w:r>
        <w:rPr>
          <w:sz w:val="24"/>
        </w:rPr>
        <w:t xml:space="preserve">штрафные санкции (при необходимости);</w:t>
      </w:r>
    </w:p>
    <w:p>
      <w:pPr>
        <w:pStyle w:val="0"/>
        <w:spacing w:before="240" w:line-rule="auto"/>
        <w:ind w:firstLine="540"/>
        <w:jc w:val="both"/>
      </w:pPr>
      <w:r>
        <w:rPr>
          <w:sz w:val="24"/>
        </w:rPr>
        <w:t xml:space="preserve">иные меры ответственности, определенные правовым актом (при необходимости).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w:t>
            </w:r>
            <w:hyperlink w:history="0" w:anchor="P35" w:tooltip="6. Настоящее постановление вступает в силу со дня его официального опубликования, за исключением абзацев второго - шестого пункта 18 Правил и пункта 8 общих требований, которые вступают в силу со дня ввода в эксплуатацию государственной информационной системы &quot;Капиталовложения&quot; (вторая очередь).">
              <w:r>
                <w:rPr>
                  <w:sz w:val="24"/>
                  <w:color w:val="0000ff"/>
                </w:rPr>
                <w:t xml:space="preserve">вступает</w:t>
              </w:r>
            </w:hyperlink>
            <w:r>
              <w:rPr>
                <w:sz w:val="24"/>
                <w:color w:val="392c69"/>
              </w:rPr>
              <w:t xml:space="preserve"> в силу со дня ввода в эксплуатацию ГИС "Капиталовложения" (вторая очередь).</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9" w:name="P1379"/>
    <w:bookmarkEnd w:id="1379"/>
    <w:p>
      <w:pPr>
        <w:pStyle w:val="0"/>
        <w:spacing w:before="300" w:line-rule="auto"/>
        <w:ind w:firstLine="540"/>
        <w:jc w:val="both"/>
      </w:pPr>
      <w:r>
        <w:rPr>
          <w:sz w:val="24"/>
        </w:rPr>
        <w:t xml:space="preserve">8. Информация о субсидиях, предоставленных организациям, реализующим проект, на возмещение затрат, предусмотренных </w:t>
      </w:r>
      <w:r>
        <w:rPr>
          <w:sz w:val="24"/>
        </w:rPr>
        <w:t xml:space="preserve">частью 1 статьи 15</w:t>
      </w:r>
      <w:r>
        <w:rPr>
          <w:sz w:val="24"/>
        </w:rPr>
        <w:t xml:space="preserve"> Федерального закона, об объектах инфраструктуры и о правовом статусе объектов инфраструктуры с указанием их текущих правообладателей подлежит размещению в государственной информационной системе "Капиталовложения".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03.10.2020 N 1599</w:t>
            <w:br/>
            <w:t>(ред. от 27.10.2025)</w:t>
            <w:br/>
            <w:t>"О порядке возмещения затрат, указанных в части...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03.10.2020 N 1599</w:t>
            <w:br/>
            <w:t>(ред. от 27.10.2025)</w:t>
            <w:br/>
            <w:t>"О порядке возмещения затрат, указанных в части...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image" Target="media/image10.wmf"/>
	<Relationship Id="rId18" Type="http://schemas.openxmlformats.org/officeDocument/2006/relationships/image" Target="media/image11.wmf"/>
	<Relationship Id="rId19" Type="http://schemas.openxmlformats.org/officeDocument/2006/relationships/image" Target="media/image12.wmf"/>
	<Relationship Id="rId20" Type="http://schemas.openxmlformats.org/officeDocument/2006/relationships/image" Target="media/image13.wmf"/>
	<Relationship Id="rId21" Type="http://schemas.openxmlformats.org/officeDocument/2006/relationships/image" Target="media/image14.wmf"/>
	<Relationship Id="rId22" Type="http://schemas.openxmlformats.org/officeDocument/2006/relationships/image" Target="media/image15.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03.10.2020 N 1599
(ред. от 27.10.2025)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(вместе с "Правилами возмещения затрат, указанных в части 1 статьи 15 Федерального закона "О защите и поощрении капиталов</dc:title>
  <dcterms:created xsi:type="dcterms:W3CDTF">2026-02-09T01:50:09Z</dcterms:created>
</cp:coreProperties>
</file>