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  <w:r w:rsidRPr="00163609">
        <w:rPr>
          <w:rFonts w:ascii="PT Astra Serif" w:hAnsi="PT Astra Serif"/>
          <w:noProof/>
          <w:lang w:val="ru-RU" w:eastAsia="ru-RU"/>
        </w:rPr>
        <w:drawing>
          <wp:anchor distT="0" distB="0" distL="114300" distR="114300" simplePos="0" relativeHeight="251273728" behindDoc="0" locked="0" layoutInCell="1" allowOverlap="1">
            <wp:simplePos x="0" y="0"/>
            <wp:positionH relativeFrom="page">
              <wp:posOffset>1106424</wp:posOffset>
            </wp:positionH>
            <wp:positionV relativeFrom="paragraph">
              <wp:posOffset>-200407</wp:posOffset>
            </wp:positionV>
            <wp:extent cx="6117335" cy="183489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335" cy="18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spacing w:after="243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>
      <w:pPr>
        <w:spacing w:line="253" w:lineRule="exact"/>
        <w:ind w:left="4236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pacing w:val="-1"/>
          <w:sz w:val="28"/>
          <w:szCs w:val="28"/>
          <w:lang w:val="ru-RU"/>
        </w:rPr>
        <w:t>от 25 февраля 2025 г. № 118-р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C4544F" w:rsidRPr="00163609" w:rsidRDefault="00C4544F">
      <w:pPr>
        <w:spacing w:after="114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>
      <w:pPr>
        <w:spacing w:line="253" w:lineRule="exact"/>
        <w:ind w:left="5000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г. Горно-Алтайск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 w:rsidP="00163609">
      <w:pPr>
        <w:spacing w:after="261"/>
        <w:jc w:val="center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 w:rsidP="00163609">
      <w:pPr>
        <w:spacing w:line="248" w:lineRule="exact"/>
        <w:ind w:left="1560"/>
        <w:jc w:val="center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>О мерах по реализации Указа Президента Российской Федерации</w:t>
      </w:r>
    </w:p>
    <w:p w:rsidR="00C4544F" w:rsidRDefault="00A25B6B" w:rsidP="00163609">
      <w:pPr>
        <w:spacing w:before="3" w:line="322" w:lineRule="exact"/>
        <w:ind w:left="1560" w:right="94" w:firstLine="360"/>
        <w:jc w:val="center"/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</w:pPr>
      <w:r w:rsidRP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>от 28 ноября 2024 г. № 1014 «Об оце</w:t>
      </w:r>
      <w:r w:rsid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 xml:space="preserve">нке эффективности деятельности </w:t>
      </w:r>
      <w:r w:rsidRP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 xml:space="preserve">высших должностных лиц субъектов Российской Федерации </w:t>
      </w:r>
      <w:r w:rsid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 xml:space="preserve">и </w:t>
      </w:r>
      <w:r w:rsidRPr="00163609">
        <w:rPr>
          <w:rFonts w:ascii="PT Astra Serif" w:hAnsi="PT Astra Serif" w:cs="Times"/>
          <w:b/>
          <w:bCs/>
          <w:color w:val="000000"/>
          <w:spacing w:val="-1"/>
          <w:sz w:val="28"/>
          <w:szCs w:val="28"/>
          <w:lang w:val="ru-RU"/>
        </w:rPr>
        <w:t>деятельности исполнительных органов субъектов Российской Федерации»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  <w:t>и признании утратившим силу распоряжения Правительства Республики Алтай от 29 мая 2024 г. № 324-р</w:t>
      </w:r>
    </w:p>
    <w:p w:rsidR="007C02BA" w:rsidRDefault="007C02BA" w:rsidP="00163609">
      <w:pPr>
        <w:spacing w:before="3" w:line="322" w:lineRule="exact"/>
        <w:ind w:left="1560" w:right="94" w:firstLine="360"/>
        <w:jc w:val="center"/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</w:pPr>
    </w:p>
    <w:p w:rsidR="007C02BA" w:rsidRPr="007C02BA" w:rsidRDefault="007C02BA" w:rsidP="00163609">
      <w:pPr>
        <w:spacing w:before="3" w:line="322" w:lineRule="exact"/>
        <w:ind w:left="1560" w:right="94" w:firstLine="360"/>
        <w:jc w:val="center"/>
        <w:rPr>
          <w:rFonts w:ascii="PT Astra Serif" w:hAnsi="PT Astra Serif" w:cs="Times New Roman"/>
          <w:color w:val="010302"/>
          <w:lang w:val="ru-RU"/>
        </w:rPr>
      </w:pPr>
      <w:r w:rsidRPr="007C02BA">
        <w:rPr>
          <w:rFonts w:ascii="PT Astra Serif" w:hAnsi="PT Astra Serif" w:cs="Times"/>
          <w:bCs/>
          <w:color w:val="000000"/>
          <w:sz w:val="28"/>
          <w:szCs w:val="28"/>
          <w:lang w:val="ru-RU"/>
        </w:rPr>
        <w:t xml:space="preserve">(в ред. распоряжений Правительства Республики Алтай от 13.08.2025 </w:t>
      </w:r>
      <w:r>
        <w:rPr>
          <w:rFonts w:ascii="PT Astra Serif" w:hAnsi="PT Astra Serif" w:cs="Times"/>
          <w:bCs/>
          <w:color w:val="000000"/>
          <w:sz w:val="28"/>
          <w:szCs w:val="28"/>
          <w:lang w:val="ru-RU"/>
        </w:rPr>
        <w:br/>
      </w:r>
      <w:bookmarkStart w:id="0" w:name="_GoBack"/>
      <w:bookmarkEnd w:id="0"/>
      <w:r w:rsidRPr="007C02BA">
        <w:rPr>
          <w:rFonts w:ascii="PT Astra Serif" w:hAnsi="PT Astra Serif" w:cs="Times"/>
          <w:bCs/>
          <w:color w:val="000000"/>
          <w:sz w:val="28"/>
          <w:szCs w:val="28"/>
          <w:lang w:val="ru-RU"/>
        </w:rPr>
        <w:t xml:space="preserve">№ 494-р, от 20.02.2026 № 69-р) </w:t>
      </w:r>
    </w:p>
    <w:p w:rsidR="00C4544F" w:rsidRPr="00163609" w:rsidRDefault="00C4544F" w:rsidP="00163609">
      <w:pPr>
        <w:ind w:left="1560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spacing w:after="103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 w:rsidP="00163609">
      <w:pPr>
        <w:tabs>
          <w:tab w:val="left" w:pos="2388"/>
          <w:tab w:val="left" w:pos="3118"/>
          <w:tab w:val="left" w:pos="3386"/>
          <w:tab w:val="left" w:pos="3876"/>
          <w:tab w:val="left" w:pos="5061"/>
          <w:tab w:val="left" w:pos="5398"/>
          <w:tab w:val="left" w:pos="6073"/>
          <w:tab w:val="left" w:pos="7106"/>
          <w:tab w:val="left" w:pos="7777"/>
          <w:tab w:val="left" w:pos="8748"/>
          <w:tab w:val="left" w:pos="9213"/>
          <w:tab w:val="left" w:pos="9481"/>
        </w:tabs>
        <w:spacing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В целях реализации Указа Президента Российской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Федерации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163609">
        <w:rPr>
          <w:rFonts w:ascii="PT Astra Serif" w:hAnsi="PT Astra Serif" w:cs="Times New Roman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28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ноября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2024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г.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№</w:t>
      </w:r>
      <w:r w:rsidRPr="00163609">
        <w:rPr>
          <w:rFonts w:ascii="PT Astra Serif" w:hAnsi="PT Astra Serif" w:cs="Times"/>
          <w:color w:val="000000"/>
          <w:spacing w:val="2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1014</w:t>
      </w:r>
      <w:r w:rsidRPr="00163609">
        <w:rPr>
          <w:rFonts w:ascii="PT Astra Serif" w:hAnsi="PT Astra Serif" w:cs="Times"/>
          <w:color w:val="000000"/>
          <w:spacing w:val="26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«Об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оценке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деятельности</w:t>
      </w:r>
      <w:r w:rsidRPr="00163609">
        <w:rPr>
          <w:rFonts w:ascii="PT Astra Serif" w:hAnsi="PT Astra Serif" w:cs="Times"/>
          <w:color w:val="000000"/>
          <w:spacing w:val="26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высших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должностных лиц субъектов Российской Федерации 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и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деятельности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исполнительных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органов субъектов Российской Федерации»: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163609">
      <w:pPr>
        <w:tabs>
          <w:tab w:val="left" w:pos="2292"/>
          <w:tab w:val="left" w:pos="2796"/>
          <w:tab w:val="left" w:pos="3118"/>
          <w:tab w:val="left" w:pos="3876"/>
          <w:tab w:val="left" w:pos="4980"/>
          <w:tab w:val="left" w:pos="5398"/>
          <w:tab w:val="left" w:pos="6405"/>
          <w:tab w:val="left" w:pos="7106"/>
          <w:tab w:val="left" w:pos="8748"/>
          <w:tab w:val="left" w:pos="8878"/>
          <w:tab w:val="left" w:pos="9213"/>
        </w:tabs>
        <w:spacing w:before="6" w:line="322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pacing w:val="-1"/>
          <w:sz w:val="28"/>
          <w:szCs w:val="28"/>
          <w:lang w:val="ru-RU"/>
        </w:rPr>
        <w:t>1. Определить Министерство экономического развития Республики Алтай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(далее – Министерство) органом, уполномоченным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координировать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деятельность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исполнительных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органов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Республики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Алтай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</w:t>
      </w:r>
      <w:r w:rsidR="00163609">
        <w:rPr>
          <w:rFonts w:ascii="PT Astra Serif" w:hAnsi="PT Astra Serif" w:cs="Times"/>
          <w:color w:val="000000"/>
          <w:spacing w:val="2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целях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реализации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Президента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Российской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Федерации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28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ноября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2024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г.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№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1014</w:t>
      </w:r>
      <w:r w:rsidRPr="00163609">
        <w:rPr>
          <w:rFonts w:ascii="PT Astra Serif" w:hAnsi="PT Astra Serif" w:cs="Times"/>
          <w:color w:val="000000"/>
          <w:spacing w:val="28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«Об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оценке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деятельности</w:t>
      </w:r>
      <w:r w:rsidRPr="00163609">
        <w:rPr>
          <w:rFonts w:ascii="PT Astra Serif" w:hAnsi="PT Astra Serif" w:cs="Times"/>
          <w:color w:val="000000"/>
          <w:spacing w:val="26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высших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должностных лиц субъектов Российской Федерации и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деятельности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исполнительных органов субъектов Российской Федерации».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295906">
      <w:pPr>
        <w:tabs>
          <w:tab w:val="left" w:pos="2949"/>
          <w:tab w:val="left" w:pos="4116"/>
          <w:tab w:val="left" w:pos="6112"/>
          <w:tab w:val="left" w:pos="8235"/>
          <w:tab w:val="left" w:pos="10005"/>
        </w:tabs>
        <w:spacing w:before="8"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2.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="00295906" w:rsidRPr="00295906">
        <w:rPr>
          <w:rFonts w:ascii="PT Astra Serif" w:hAnsi="PT Astra Serif" w:cs="Times"/>
          <w:color w:val="000000"/>
          <w:sz w:val="28"/>
          <w:szCs w:val="28"/>
          <w:lang w:val="ru-RU"/>
        </w:rPr>
        <w:t>Утвердить прилагаемый перечень должностных лиц, исполнительных органов Республики Алтай, ответственных за достижение показателей для оценки эффективности деятельности Главы Республики Алтай, исполнительных органов Республики Алтай (далее соответственно – Перечень, показатели эффективности).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163609">
      <w:pPr>
        <w:tabs>
          <w:tab w:val="left" w:pos="2971"/>
          <w:tab w:val="left" w:pos="5136"/>
          <w:tab w:val="left" w:pos="7267"/>
          <w:tab w:val="left" w:pos="9791"/>
        </w:tabs>
        <w:spacing w:before="8" w:line="321" w:lineRule="exact"/>
        <w:ind w:left="1099" w:right="75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3. Должностным лицам, указанным в пункте 2 настоящего Распоряжения,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lastRenderedPageBreak/>
        <w:t xml:space="preserve">обеспечить координацию деятельности исполнительных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органов</w:t>
      </w:r>
      <w:r w:rsid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 xml:space="preserve"> </w:t>
      </w:r>
      <w:r w:rsidR="00295906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Республики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Алтай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достижению</w:t>
      </w:r>
      <w:r w:rsidRPr="00163609">
        <w:rPr>
          <w:rFonts w:ascii="PT Astra Serif" w:hAnsi="PT Astra Serif" w:cs="Times"/>
          <w:color w:val="000000"/>
          <w:spacing w:val="46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целевых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значений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показателей эффективности.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A73688">
      <w:pPr>
        <w:tabs>
          <w:tab w:val="left" w:pos="4672"/>
          <w:tab w:val="left" w:pos="6895"/>
          <w:tab w:val="left" w:pos="7543"/>
          <w:tab w:val="left" w:pos="9372"/>
        </w:tabs>
        <w:spacing w:before="8"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4. Соисполнителям, ответственным за достижение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="00E2317E">
        <w:rPr>
          <w:rFonts w:ascii="PT Astra Serif" w:hAnsi="PT Astra Serif" w:cs="Times"/>
          <w:color w:val="000000"/>
          <w:sz w:val="28"/>
          <w:szCs w:val="28"/>
          <w:lang w:val="ru-RU"/>
        </w:rPr>
        <w:t>, включенных в Перечень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: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3" w:line="326" w:lineRule="exact"/>
        <w:ind w:left="1179" w:right="-7" w:firstLine="710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а) осуществлять</w:t>
      </w:r>
      <w:r w:rsidRPr="00163609">
        <w:rPr>
          <w:rFonts w:ascii="PT Astra Serif" w:hAnsi="PT Astra Serif" w:cs="Times"/>
          <w:color w:val="000000"/>
          <w:spacing w:val="4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на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постоянной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основе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мониторинг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достижения</w:t>
      </w:r>
      <w:r w:rsidRPr="00163609">
        <w:rPr>
          <w:rFonts w:ascii="PT Astra Serif" w:hAnsi="PT Astra Serif" w:cs="Times"/>
          <w:color w:val="000000"/>
          <w:spacing w:val="4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целевых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значений (уровней) показателей эффективности;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tabs>
          <w:tab w:val="left" w:pos="3055"/>
          <w:tab w:val="left" w:pos="5320"/>
          <w:tab w:val="left" w:pos="6812"/>
          <w:tab w:val="left" w:pos="8796"/>
          <w:tab w:val="left" w:pos="9362"/>
        </w:tabs>
        <w:spacing w:before="8"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б) представлять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головным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исполнителям,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ответственным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достижение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показателей эффективности согласно приложению к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настоящему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Распоряжению,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результаты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мониторинга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достижения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целевых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значений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(уровней) показателей эффективности, содержащие оценку вклада реализуемых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ими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планируемых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к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реализации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мероприятий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достижение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1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эффективности,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степень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достаточности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реализуемых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мер: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1</w:t>
      </w:r>
      <w:r w:rsidR="00163609">
        <w:rPr>
          <w:rFonts w:ascii="PT Astra Serif" w:hAnsi="PT Astra Serif" w:cs="Times"/>
          <w:color w:val="000000"/>
          <w:spacing w:val="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полугодие</w:t>
      </w:r>
      <w:r w:rsidR="00163609">
        <w:rPr>
          <w:rFonts w:ascii="PT Astra Serif" w:hAnsi="PT Astra Serif" w:cs="Times"/>
          <w:color w:val="000000"/>
          <w:spacing w:val="1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18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июля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или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последнего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рабочего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дня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указанной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даты,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9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месяцев</w:t>
      </w:r>
      <w:r w:rsidRPr="00163609">
        <w:rPr>
          <w:rFonts w:ascii="PT Astra Serif" w:hAnsi="PT Astra Serif" w:cs="Times"/>
          <w:color w:val="000000"/>
          <w:spacing w:val="5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13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октября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или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последнего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рабочего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дня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указанной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даты,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год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18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до 20 апреля года, следующего </w:t>
      </w:r>
      <w:r w:rsidR="00A73688">
        <w:rPr>
          <w:rFonts w:ascii="PT Astra Serif" w:hAnsi="PT Astra Serif" w:cs="Times"/>
          <w:color w:val="000000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 отчетным годом или последнего рабочего дня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 указанной даты.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A73688">
      <w:pPr>
        <w:spacing w:before="8"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5. Головным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исполнителям,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ответственным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достижение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="000C2D2B">
        <w:rPr>
          <w:rFonts w:ascii="PT Astra Serif" w:hAnsi="PT Astra Serif" w:cs="Times"/>
          <w:color w:val="000000"/>
          <w:sz w:val="28"/>
          <w:szCs w:val="28"/>
          <w:lang w:val="ru-RU"/>
        </w:rPr>
        <w:t>,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="000C2D2B">
        <w:rPr>
          <w:rFonts w:ascii="PT Astra Serif" w:hAnsi="PT Astra Serif" w:cs="Times"/>
          <w:color w:val="000000"/>
          <w:sz w:val="28"/>
          <w:szCs w:val="28"/>
          <w:lang w:val="ru-RU"/>
        </w:rPr>
        <w:t>включенных в Перечень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: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8" w:line="321" w:lineRule="exact"/>
        <w:ind w:left="1179" w:right="-7" w:firstLine="710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а) осуществлять</w:t>
      </w:r>
      <w:r w:rsidRPr="00163609">
        <w:rPr>
          <w:rFonts w:ascii="PT Astra Serif" w:hAnsi="PT Astra Serif" w:cs="Times"/>
          <w:color w:val="000000"/>
          <w:spacing w:val="4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на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постоянной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основе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мониторинг</w:t>
      </w:r>
      <w:r w:rsidRPr="00163609">
        <w:rPr>
          <w:rFonts w:ascii="PT Astra Serif" w:hAnsi="PT Astra Serif" w:cs="Times"/>
          <w:color w:val="000000"/>
          <w:spacing w:val="4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достижения</w:t>
      </w:r>
      <w:r w:rsidRPr="00163609">
        <w:rPr>
          <w:rFonts w:ascii="PT Astra Serif" w:hAnsi="PT Astra Serif" w:cs="Times"/>
          <w:color w:val="000000"/>
          <w:spacing w:val="4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целевых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значений (уровней) показателей эффективности;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A73688">
      <w:pPr>
        <w:tabs>
          <w:tab w:val="left" w:pos="4120"/>
          <w:tab w:val="left" w:pos="5244"/>
          <w:tab w:val="left" w:pos="6530"/>
          <w:tab w:val="left" w:pos="7917"/>
          <w:tab w:val="left" w:pos="9367"/>
        </w:tabs>
        <w:spacing w:before="8" w:line="321" w:lineRule="exact"/>
        <w:ind w:left="1179" w:right="-7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б) осуществлять оценку целевых значений (уровней)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tabs>
          <w:tab w:val="left" w:pos="2772"/>
          <w:tab w:val="left" w:pos="3184"/>
          <w:tab w:val="left" w:pos="3597"/>
          <w:tab w:val="left" w:pos="3698"/>
          <w:tab w:val="left" w:pos="4879"/>
          <w:tab w:val="left" w:pos="5291"/>
          <w:tab w:val="left" w:pos="5714"/>
          <w:tab w:val="left" w:pos="6938"/>
          <w:tab w:val="left" w:pos="7594"/>
          <w:tab w:val="left" w:pos="8358"/>
          <w:tab w:val="left" w:pos="9605"/>
          <w:tab w:val="left" w:pos="9795"/>
          <w:tab w:val="left" w:pos="10522"/>
        </w:tabs>
        <w:spacing w:before="8" w:line="321" w:lineRule="exact"/>
        <w:ind w:left="1179" w:right="-4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в) при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наличии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показателей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эффективности,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имеющих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отрицательную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динамику, либо рисков </w:t>
      </w:r>
      <w:proofErr w:type="spellStart"/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недостижения</w:t>
      </w:r>
      <w:proofErr w:type="spellEnd"/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целевого значения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(уровня)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разрабатывать в дополнение к реализуемым мероприятиям меры </w:t>
      </w:r>
      <w:r w:rsidRPr="00163609">
        <w:rPr>
          <w:rFonts w:ascii="PT Astra Serif" w:hAnsi="PT Astra Serif" w:cs="Times"/>
          <w:color w:val="000000"/>
          <w:spacing w:val="-10"/>
          <w:sz w:val="28"/>
          <w:szCs w:val="28"/>
          <w:lang w:val="ru-RU"/>
        </w:rPr>
        <w:t>по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преодолению негативных тенденций;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tabs>
          <w:tab w:val="left" w:pos="2695"/>
          <w:tab w:val="left" w:pos="4298"/>
          <w:tab w:val="left" w:pos="4744"/>
          <w:tab w:val="left" w:pos="6833"/>
          <w:tab w:val="left" w:pos="8143"/>
          <w:tab w:val="left" w:pos="9362"/>
        </w:tabs>
        <w:spacing w:before="8" w:line="321" w:lineRule="exact"/>
        <w:ind w:left="1179" w:right="-3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г) обеспечить</w:t>
      </w:r>
      <w:r w:rsidRP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взаимодействие с федеральными органами исполнительной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власти</w:t>
      </w:r>
      <w:r w:rsidR="00163609">
        <w:rPr>
          <w:rFonts w:ascii="PT Astra Serif" w:hAnsi="PT Astra Serif" w:cs="Times"/>
          <w:color w:val="000000"/>
          <w:spacing w:val="2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комиссиями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Государственного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совета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Российской</w:t>
      </w:r>
      <w:r w:rsidR="00163609">
        <w:rPr>
          <w:rFonts w:ascii="PT Astra Serif" w:hAnsi="PT Astra Serif" w:cs="Times"/>
          <w:color w:val="000000"/>
          <w:spacing w:val="2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Федерации</w:t>
      </w:r>
      <w:r w:rsidR="00163609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pacing w:val="21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pacing w:val="-8"/>
          <w:sz w:val="28"/>
          <w:szCs w:val="28"/>
          <w:lang w:val="ru-RU"/>
        </w:rPr>
        <w:t>по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вопросам, связанным с согласованием методик расчета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эффективности,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целевых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значений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(уровней)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показателей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эффективности,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обоснованием указанных значений (уровней);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60" w:line="253" w:lineRule="exact"/>
        <w:ind w:left="1889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д) представлять в Министерство: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60" w:line="253" w:lineRule="exact"/>
        <w:ind w:left="1889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сведения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плановых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значениях</w:t>
      </w:r>
      <w:r w:rsidRPr="00163609">
        <w:rPr>
          <w:rFonts w:ascii="PT Astra Serif" w:hAnsi="PT Astra Serif" w:cs="Times"/>
          <w:color w:val="000000"/>
          <w:spacing w:val="59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(уровнях)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на</w:t>
      </w:r>
      <w:r w:rsidRPr="00163609">
        <w:rPr>
          <w:rFonts w:ascii="PT Astra Serif" w:hAnsi="PT Astra Serif" w:cs="Times"/>
          <w:color w:val="000000"/>
          <w:spacing w:val="6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текущий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5"/>
          <w:sz w:val="28"/>
          <w:szCs w:val="28"/>
          <w:lang w:val="ru-RU"/>
        </w:rPr>
        <w:t>год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60" w:line="253" w:lineRule="exact"/>
        <w:ind w:left="1179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 1 мая;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60" w:line="253" w:lineRule="exact"/>
        <w:ind w:left="1889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информацию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достигнутых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целевых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значениях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(уровнях)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показателей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8" w:line="321" w:lineRule="exact"/>
        <w:ind w:left="1179" w:right="-5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пояснительной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запиской,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содержащей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оценку</w:t>
      </w:r>
      <w:r w:rsidR="00163609">
        <w:rPr>
          <w:rFonts w:ascii="PT Astra Serif" w:hAnsi="PT Astra Serif" w:cs="Times"/>
          <w:color w:val="000000"/>
          <w:spacing w:val="2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вклада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pacing w:val="-13"/>
          <w:sz w:val="28"/>
          <w:szCs w:val="28"/>
          <w:lang w:val="ru-RU"/>
        </w:rPr>
        <w:t>в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достижение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показателей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эффективности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реализуемых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</w:t>
      </w:r>
      <w:r w:rsidR="00163609">
        <w:rPr>
          <w:rFonts w:ascii="PT Astra Serif" w:hAnsi="PT Astra Serif" w:cs="Times"/>
          <w:color w:val="000000"/>
          <w:spacing w:val="1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планируемых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pacing w:val="-18"/>
          <w:sz w:val="28"/>
          <w:szCs w:val="28"/>
          <w:lang w:val="ru-RU"/>
        </w:rPr>
        <w:t>к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реализации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мероприятий,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влияющих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на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их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динамику,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1</w:t>
      </w:r>
      <w:r w:rsidR="00163609">
        <w:rPr>
          <w:rFonts w:ascii="PT Astra Serif" w:hAnsi="PT Astra Serif" w:cs="Times"/>
          <w:color w:val="000000"/>
          <w:spacing w:val="33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полугодие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0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 New Roman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30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июля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или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последнего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рабочего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дня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Pr="00163609">
        <w:rPr>
          <w:rFonts w:ascii="PT Astra Serif" w:hAnsi="PT Astra Serif" w:cs="Times"/>
          <w:color w:val="000000"/>
          <w:spacing w:val="5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указанной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даты,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9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месяцев</w:t>
      </w:r>
      <w:r w:rsidRPr="00163609">
        <w:rPr>
          <w:rFonts w:ascii="PT Astra Serif" w:hAnsi="PT Astra Serif" w:cs="Times"/>
          <w:color w:val="000000"/>
          <w:spacing w:val="5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15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30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октября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или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последнего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рабочего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дня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указанной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даты,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за</w:t>
      </w:r>
      <w:r w:rsidR="00163609">
        <w:rPr>
          <w:rFonts w:ascii="PT Astra Serif" w:hAnsi="PT Astra Serif" w:cs="Times"/>
          <w:color w:val="000000"/>
          <w:spacing w:val="1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год</w:t>
      </w:r>
      <w:r w:rsidR="00163609">
        <w:rPr>
          <w:rFonts w:ascii="PT Astra Serif" w:hAnsi="PT Astra Serif" w:cs="Times"/>
          <w:color w:val="000000"/>
          <w:spacing w:val="1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0"/>
          <w:sz w:val="28"/>
          <w:szCs w:val="28"/>
          <w:lang w:val="ru-RU"/>
        </w:rPr>
        <w:t>-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 New Roman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 30 апреля года, следующего за отчетным годом или последнего рабочего дня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 указанной даты.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 w:rsidP="004E604C">
      <w:pPr>
        <w:spacing w:before="5" w:line="323" w:lineRule="exact"/>
        <w:ind w:left="1179" w:right="-3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6.</w:t>
      </w:r>
      <w:r w:rsidRPr="00163609">
        <w:rPr>
          <w:rFonts w:ascii="PT Astra Serif" w:hAnsi="PT Astra Serif" w:cs="Times"/>
          <w:color w:val="000000"/>
          <w:spacing w:val="26"/>
          <w:sz w:val="28"/>
          <w:szCs w:val="28"/>
          <w:lang w:val="ru-RU"/>
        </w:rPr>
        <w:t xml:space="preserve"> </w:t>
      </w:r>
      <w:r w:rsidR="004E604C" w:rsidRPr="004E604C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Информация, предусмотренная подпунктом «б» пункта 4 и подпунктом «д» пункта 5 настоящего Распоряжения, представляется по всем показателям эффективности, за исключением основных социологических показателей, </w:t>
      </w:r>
      <w:r w:rsidR="004E604C" w:rsidRPr="004E604C">
        <w:rPr>
          <w:rFonts w:ascii="PT Astra Serif" w:hAnsi="PT Astra Serif" w:cs="Times"/>
          <w:color w:val="000000"/>
          <w:sz w:val="28"/>
          <w:szCs w:val="28"/>
          <w:lang w:val="ru-RU"/>
        </w:rPr>
        <w:lastRenderedPageBreak/>
        <w:t>определенных подпунктом «а» пункта 2 Указа Президента Российской Федерации от 28 ноября 2024 г.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tabs>
          <w:tab w:val="left" w:pos="2738"/>
          <w:tab w:val="left" w:pos="4639"/>
          <w:tab w:val="left" w:pos="5479"/>
          <w:tab w:val="left" w:pos="7048"/>
          <w:tab w:val="left" w:pos="9049"/>
        </w:tabs>
        <w:spacing w:before="8" w:line="321" w:lineRule="exact"/>
        <w:ind w:left="1179" w:right="-2" w:firstLine="710"/>
        <w:jc w:val="both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7.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Признать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утратившим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силу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распоряжение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Правительства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Республики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Алтай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29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мая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2024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г.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№</w:t>
      </w:r>
      <w:r w:rsidRPr="00163609">
        <w:rPr>
          <w:rFonts w:ascii="PT Astra Serif" w:hAnsi="PT Astra Serif" w:cs="Times"/>
          <w:color w:val="000000"/>
          <w:spacing w:val="46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324-р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«О</w:t>
      </w:r>
      <w:r w:rsidRPr="00163609">
        <w:rPr>
          <w:rFonts w:ascii="PT Astra Serif" w:hAnsi="PT Astra Serif" w:cs="Times"/>
          <w:color w:val="000000"/>
          <w:spacing w:val="50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мерах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по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реализации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Указа</w:t>
      </w:r>
      <w:r w:rsidRPr="00163609">
        <w:rPr>
          <w:rFonts w:ascii="PT Astra Serif" w:hAnsi="PT Astra Serif" w:cs="Times"/>
          <w:color w:val="000000"/>
          <w:spacing w:val="4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3"/>
          <w:sz w:val="28"/>
          <w:szCs w:val="28"/>
          <w:lang w:val="ru-RU"/>
        </w:rPr>
        <w:t>Президента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Российской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Федерации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4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февраля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2021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г.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№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68</w:t>
      </w:r>
      <w:r w:rsidRPr="00163609">
        <w:rPr>
          <w:rFonts w:ascii="PT Astra Serif" w:hAnsi="PT Astra Serif" w:cs="Times"/>
          <w:color w:val="000000"/>
          <w:spacing w:val="35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«Об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оценке</w:t>
      </w:r>
      <w:r w:rsidRPr="00163609">
        <w:rPr>
          <w:rFonts w:ascii="PT Astra Serif" w:hAnsi="PT Astra Serif" w:cs="Times"/>
          <w:color w:val="000000"/>
          <w:spacing w:val="31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эффективности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деятельности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высших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должностных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лиц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субъектов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Российской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Федерации</w:t>
      </w:r>
      <w:r w:rsidRPr="00163609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pacing w:val="64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pacing w:val="-21"/>
          <w:sz w:val="28"/>
          <w:szCs w:val="28"/>
          <w:lang w:val="ru-RU"/>
        </w:rPr>
        <w:t>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деятельности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исполнительных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органов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субъектов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Российской</w:t>
      </w:r>
      <w:r w:rsidR="00163609">
        <w:rPr>
          <w:rFonts w:ascii="PT Astra Serif" w:hAnsi="PT Astra Serif" w:cs="Times"/>
          <w:color w:val="000000"/>
          <w:spacing w:val="4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Федерации»</w:t>
      </w:r>
      <w:r w:rsidR="00163609">
        <w:rPr>
          <w:rFonts w:ascii="PT Astra Serif" w:hAnsi="PT Astra Serif" w:cs="Times"/>
          <w:color w:val="000000"/>
          <w:spacing w:val="6"/>
          <w:sz w:val="28"/>
          <w:szCs w:val="28"/>
          <w:lang w:val="ru-RU"/>
        </w:rPr>
        <w:t xml:space="preserve"> </w:t>
      </w:r>
      <w:r w:rsidR="00A73688">
        <w:rPr>
          <w:rFonts w:ascii="PT Astra Serif" w:hAnsi="PT Astra Serif" w:cs="Times"/>
          <w:color w:val="000000"/>
          <w:spacing w:val="6"/>
          <w:sz w:val="28"/>
          <w:szCs w:val="28"/>
          <w:lang w:val="ru-RU"/>
        </w:rPr>
        <w:br/>
      </w:r>
      <w:r w:rsidRPr="00163609">
        <w:rPr>
          <w:rFonts w:ascii="PT Astra Serif" w:hAnsi="PT Astra Serif" w:cs="Times"/>
          <w:color w:val="000000"/>
          <w:spacing w:val="-20"/>
          <w:sz w:val="28"/>
          <w:szCs w:val="28"/>
          <w:lang w:val="ru-RU"/>
        </w:rPr>
        <w:t>и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признании утратившими силу некоторых распоряжений </w:t>
      </w: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Правительства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Республики Алтай».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C4544F">
      <w:pPr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>
      <w:pPr>
        <w:spacing w:after="154"/>
        <w:rPr>
          <w:rFonts w:ascii="PT Astra Serif" w:hAnsi="PT Astra Serif"/>
          <w:color w:val="000000" w:themeColor="text1"/>
          <w:sz w:val="24"/>
          <w:szCs w:val="24"/>
          <w:lang w:val="ru-RU"/>
        </w:rPr>
      </w:pPr>
      <w:r w:rsidRPr="00163609">
        <w:rPr>
          <w:rFonts w:ascii="PT Astra Serif" w:hAnsi="PT Astra Serif"/>
          <w:noProof/>
          <w:lang w:val="ru-RU" w:eastAsia="ru-RU"/>
        </w:rPr>
        <w:drawing>
          <wp:anchor distT="0" distB="0" distL="114300" distR="114300" simplePos="0" relativeHeight="251274752" behindDoc="1" locked="0" layoutInCell="1" allowOverlap="1">
            <wp:simplePos x="0" y="0"/>
            <wp:positionH relativeFrom="page">
              <wp:posOffset>4002023</wp:posOffset>
            </wp:positionH>
            <wp:positionV relativeFrom="paragraph">
              <wp:posOffset>-224155</wp:posOffset>
            </wp:positionV>
            <wp:extent cx="1783079" cy="1783079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1783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44F" w:rsidRDefault="00163609">
      <w:pPr>
        <w:spacing w:line="321" w:lineRule="exact"/>
        <w:ind w:left="1179" w:right="69"/>
        <w:rPr>
          <w:rFonts w:ascii="PT Astra Serif" w:hAnsi="PT Astra Serif" w:cs="Times"/>
          <w:color w:val="000000"/>
          <w:sz w:val="28"/>
          <w:szCs w:val="28"/>
          <w:lang w:val="ru-RU"/>
        </w:rPr>
      </w:pPr>
      <w:r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="00D33103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  </w:t>
      </w:r>
      <w:r w:rsidR="00A25B6B"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Глава Республики Алтай,</w:t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  <w:r w:rsidR="00A25B6B" w:rsidRPr="00163609">
        <w:rPr>
          <w:rFonts w:ascii="PT Astra Serif" w:hAnsi="PT Astra Serif"/>
          <w:lang w:val="ru-RU"/>
        </w:rPr>
        <w:br w:type="textWrapping" w:clear="all"/>
      </w:r>
      <w:r w:rsidR="00A25B6B"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Председатель Правительства</w:t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D33103" w:rsidRPr="00163609" w:rsidRDefault="00D33103">
      <w:pPr>
        <w:spacing w:line="321" w:lineRule="exact"/>
        <w:ind w:left="1179" w:right="69"/>
        <w:rPr>
          <w:rFonts w:ascii="PT Astra Serif" w:hAnsi="PT Astra Serif" w:cs="Times New Roman"/>
          <w:color w:val="010302"/>
          <w:lang w:val="ru-RU"/>
        </w:rPr>
      </w:pPr>
      <w:r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        Республики Алтай</w:t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r>
        <w:rPr>
          <w:rFonts w:ascii="PT Astra Serif" w:hAnsi="PT Astra Serif" w:cs="Times"/>
          <w:color w:val="000000"/>
          <w:sz w:val="28"/>
          <w:szCs w:val="28"/>
          <w:lang w:val="ru-RU"/>
        </w:rPr>
        <w:tab/>
      </w:r>
      <w:proofErr w:type="spellStart"/>
      <w:r>
        <w:rPr>
          <w:rFonts w:ascii="PT Astra Serif" w:hAnsi="PT Astra Serif" w:cs="Times"/>
          <w:color w:val="000000"/>
          <w:sz w:val="28"/>
          <w:szCs w:val="28"/>
          <w:lang w:val="ru-RU"/>
        </w:rPr>
        <w:t>А.А</w:t>
      </w:r>
      <w:proofErr w:type="spellEnd"/>
      <w:r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PT Astra Serif" w:hAnsi="PT Astra Serif" w:cs="Times"/>
          <w:color w:val="000000"/>
          <w:sz w:val="28"/>
          <w:szCs w:val="28"/>
          <w:lang w:val="ru-RU"/>
        </w:rPr>
        <w:t>Турчак</w:t>
      </w:r>
      <w:proofErr w:type="spellEnd"/>
    </w:p>
    <w:p w:rsidR="00C4544F" w:rsidRPr="00163609" w:rsidRDefault="00A25B6B">
      <w:pPr>
        <w:tabs>
          <w:tab w:val="left" w:pos="1732"/>
          <w:tab w:val="left" w:pos="9206"/>
        </w:tabs>
        <w:spacing w:before="60" w:line="253" w:lineRule="exact"/>
        <w:ind w:left="1099" w:right="149"/>
        <w:jc w:val="right"/>
        <w:rPr>
          <w:rFonts w:ascii="PT Astra Serif" w:hAnsi="PT Astra Serif" w:cs="Times New Roman"/>
          <w:color w:val="010302"/>
          <w:lang w:val="ru-RU"/>
        </w:rPr>
        <w:sectPr w:rsidR="00C4544F" w:rsidRPr="00163609" w:rsidSect="007C02BA">
          <w:headerReference w:type="default" r:id="rId8"/>
          <w:type w:val="continuous"/>
          <w:pgSz w:w="11910" w:h="17330"/>
          <w:pgMar w:top="343" w:right="500" w:bottom="1418" w:left="500" w:header="708" w:footer="708" w:gutter="0"/>
          <w:cols w:space="720"/>
          <w:titlePg/>
          <w:docGrid w:linePitch="360"/>
        </w:sectPr>
      </w:pPr>
      <w:r w:rsidRPr="00163609">
        <w:rPr>
          <w:rFonts w:ascii="PT Astra Serif" w:hAnsi="PT Astra Serif"/>
          <w:lang w:val="ru-RU"/>
        </w:rPr>
        <w:br w:type="page"/>
      </w:r>
    </w:p>
    <w:p w:rsidR="00C4544F" w:rsidRPr="00163609" w:rsidRDefault="00C4544F">
      <w:pPr>
        <w:spacing w:after="98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C4544F" w:rsidRPr="00163609" w:rsidRDefault="00A25B6B">
      <w:pPr>
        <w:spacing w:line="253" w:lineRule="exact"/>
        <w:ind w:left="11796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УТВЕРЖДЕН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3" w:line="326" w:lineRule="exact"/>
        <w:ind w:left="11532" w:right="1262" w:hanging="739"/>
        <w:rPr>
          <w:rFonts w:ascii="PT Astra Serif" w:hAnsi="PT Astra Serif" w:cs="Times New Roman"/>
          <w:color w:val="010302"/>
          <w:lang w:val="ru-RU"/>
        </w:rPr>
      </w:pPr>
      <w:r w:rsidRPr="00163609">
        <w:rPr>
          <w:rFonts w:ascii="PT Astra Serif" w:hAnsi="PT Astra Serif" w:cs="Times"/>
          <w:color w:val="000000"/>
          <w:spacing w:val="-2"/>
          <w:sz w:val="28"/>
          <w:szCs w:val="28"/>
          <w:lang w:val="ru-RU"/>
        </w:rPr>
        <w:t>распоряжением Правительства</w:t>
      </w:r>
      <w:r w:rsidRPr="00163609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Республики Алтай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A25B6B">
      <w:pPr>
        <w:spacing w:before="60" w:line="253" w:lineRule="exact"/>
        <w:ind w:left="10845"/>
        <w:rPr>
          <w:rFonts w:ascii="PT Astra Serif" w:hAnsi="PT Astra Serif" w:cs="Times New Roman"/>
          <w:color w:val="010302"/>
          <w:lang w:val="ru-RU"/>
        </w:rPr>
        <w:sectPr w:rsidR="00C4544F" w:rsidRPr="00163609" w:rsidSect="007C02BA">
          <w:pgSz w:w="16850" w:h="12390"/>
          <w:pgMar w:top="343" w:right="500" w:bottom="275" w:left="500" w:header="708" w:footer="708" w:gutter="0"/>
          <w:cols w:space="720"/>
          <w:docGrid w:linePitch="360"/>
        </w:sectPr>
      </w:pPr>
      <w:r w:rsidRPr="00163609">
        <w:rPr>
          <w:rFonts w:ascii="PT Astra Serif" w:hAnsi="PT Astra Serif" w:cs="Times"/>
          <w:color w:val="000000"/>
          <w:sz w:val="28"/>
          <w:szCs w:val="28"/>
          <w:lang w:val="ru-RU"/>
        </w:rPr>
        <w:t>от 25 февраля 2025 г. № 118-р</w:t>
      </w:r>
      <w:r w:rsidR="00163609">
        <w:rPr>
          <w:rFonts w:ascii="PT Astra Serif" w:hAnsi="PT Astra Serif" w:cs="Times"/>
          <w:color w:val="000000"/>
          <w:sz w:val="28"/>
          <w:szCs w:val="28"/>
          <w:lang w:val="ru-RU"/>
        </w:rPr>
        <w:t xml:space="preserve"> </w:t>
      </w:r>
    </w:p>
    <w:p w:rsidR="00C4544F" w:rsidRPr="00163609" w:rsidRDefault="00C4544F">
      <w:pPr>
        <w:spacing w:after="169"/>
        <w:rPr>
          <w:rFonts w:ascii="PT Astra Serif" w:hAnsi="PT Astra Serif"/>
          <w:color w:val="000000" w:themeColor="text1"/>
          <w:sz w:val="24"/>
          <w:szCs w:val="24"/>
          <w:lang w:val="ru-RU"/>
        </w:rPr>
      </w:pPr>
    </w:p>
    <w:p w:rsidR="00770B43" w:rsidRPr="00770B43" w:rsidRDefault="00770B43" w:rsidP="00770B43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770B43">
        <w:rPr>
          <w:rFonts w:ascii="PT Astra Serif" w:hAnsi="PT Astra Serif"/>
          <w:b/>
          <w:bCs/>
          <w:sz w:val="26"/>
          <w:szCs w:val="26"/>
          <w:lang w:val="ru-RU"/>
        </w:rPr>
        <w:t>ПЕРЕЧЕНЬ</w:t>
      </w:r>
    </w:p>
    <w:p w:rsidR="00770B43" w:rsidRPr="00770B43" w:rsidRDefault="00770B43" w:rsidP="00770B43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val="ru-RU"/>
        </w:rPr>
      </w:pPr>
      <w:r w:rsidRPr="00770B43">
        <w:rPr>
          <w:rFonts w:ascii="PT Astra Serif" w:hAnsi="PT Astra Serif"/>
          <w:b/>
          <w:bCs/>
          <w:sz w:val="26"/>
          <w:szCs w:val="26"/>
          <w:lang w:val="ru-RU"/>
        </w:rPr>
        <w:t>должностных лиц, исполнительных органов Республики Алтай, ответственных за достижение показателей для оценки эффективности деятельности Главы Республики Алтай, исполнительных органов Республики Алтай</w:t>
      </w:r>
    </w:p>
    <w:p w:rsidR="00770B43" w:rsidRPr="00770B43" w:rsidRDefault="00770B43" w:rsidP="00770B43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873"/>
        <w:gridCol w:w="2552"/>
        <w:gridCol w:w="3118"/>
        <w:gridCol w:w="4820"/>
      </w:tblGrid>
      <w:tr w:rsidR="00770B43" w:rsidRPr="007C02BA" w:rsidTr="001E68FE">
        <w:tc>
          <w:tcPr>
            <w:tcW w:w="663" w:type="dxa"/>
            <w:vAlign w:val="center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73" w:type="dxa"/>
            <w:vAlign w:val="center"/>
          </w:tcPr>
          <w:p w:rsidR="00770B43" w:rsidRPr="00D461EB" w:rsidRDefault="00770B43" w:rsidP="00FE3E2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t xml:space="preserve">Показатели для оценки эффективности деятельности Главы Республики Алтай и деятельности исполнительных органов Республики Алтай </w:t>
            </w:r>
          </w:p>
        </w:tc>
        <w:tc>
          <w:tcPr>
            <w:tcW w:w="2552" w:type="dxa"/>
            <w:vAlign w:val="center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t>Должностные лица</w:t>
            </w:r>
          </w:p>
        </w:tc>
        <w:tc>
          <w:tcPr>
            <w:tcW w:w="3118" w:type="dxa"/>
            <w:vAlign w:val="center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t xml:space="preserve">Исполнители, ответственные за достижение значения (уровня) показателя </w:t>
            </w: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br/>
              <w:t>(головной исполнитель)</w:t>
            </w:r>
          </w:p>
        </w:tc>
        <w:tc>
          <w:tcPr>
            <w:tcW w:w="4820" w:type="dxa"/>
            <w:vAlign w:val="center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t>Соисполнители, ответственные за достижение значения (уровня) показателя</w:t>
            </w:r>
            <w:r w:rsidRPr="00D461EB">
              <w:rPr>
                <w:rFonts w:ascii="PT Astra Serif" w:eastAsia="SimSun" w:hAnsi="PT Astra Serif"/>
                <w:b/>
                <w:bCs/>
                <w:sz w:val="26"/>
                <w:szCs w:val="26"/>
                <w:lang w:val="ru-RU"/>
              </w:rPr>
              <w:br/>
              <w:t>(соисполнитель)</w:t>
            </w:r>
          </w:p>
        </w:tc>
      </w:tr>
      <w:tr w:rsidR="00770B43" w:rsidRPr="00D461EB" w:rsidTr="001E68FE"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Доверие к власти (доверие к Президенту Российской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субъектами Российской Федерации национальных целей развития Российской Федерации)</w:t>
            </w: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Жаворонков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М.К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 руководитель Администрации Главы Республики Алтай 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Администрация Главы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молодежной политики и спорта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природных ресурсов и экологии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транспорта и дорожного хозяйства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юстиции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гражданской обороне, чрезвычайным ситуациям и пожарной безопасности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контролю (надзору)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национальной политике и связям с общественностью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Инспекция по государственной охране объектов культурного наследия Республики Алтай</w:t>
            </w:r>
          </w:p>
        </w:tc>
      </w:tr>
      <w:tr w:rsidR="00770B43" w:rsidRPr="00D461EB" w:rsidTr="001E68FE">
        <w:trPr>
          <w:trHeight w:val="558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2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Численность населения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 заместитель Председателя Правительства Республики Алтай 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труда, социального развития и занятости населения Республики Алтай 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D461EB" w:rsidTr="001E68FE">
        <w:trPr>
          <w:trHeight w:val="86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юстиции Республики Алтай</w:t>
            </w:r>
          </w:p>
        </w:tc>
      </w:tr>
      <w:tr w:rsidR="00770B43" w:rsidRPr="007C02BA" w:rsidTr="001E68FE">
        <w:trPr>
          <w:trHeight w:val="86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7C02BA" w:rsidTr="001E68FE">
        <w:tc>
          <w:tcPr>
            <w:tcW w:w="66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873" w:type="dxa"/>
          </w:tcPr>
          <w:p w:rsidR="00770B43" w:rsidRPr="00D461EB" w:rsidRDefault="00770B43" w:rsidP="001E68FE">
            <w:pPr>
              <w:pStyle w:val="aa"/>
              <w:spacing w:before="0" w:beforeAutospacing="0" w:after="0" w:afterAutospacing="0" w:line="288" w:lineRule="atLeast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>Суммарный коэффициент рождаемости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Хубезов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Д.А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–заместитель Председателя Правительства Республики Алтай, министр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здравоохранения Республики Алтай</w:t>
            </w:r>
          </w:p>
        </w:tc>
        <w:tc>
          <w:tcPr>
            <w:tcW w:w="3118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Министерство здравоохранения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c>
          <w:tcPr>
            <w:tcW w:w="66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873" w:type="dxa"/>
          </w:tcPr>
          <w:p w:rsidR="00770B43" w:rsidRPr="00D461EB" w:rsidRDefault="00770B43" w:rsidP="001E68FE">
            <w:pPr>
              <w:pStyle w:val="aa"/>
              <w:spacing w:before="0" w:beforeAutospacing="0" w:after="0" w:afterAutospacing="0" w:line="288" w:lineRule="atLeast"/>
              <w:jc w:val="both"/>
              <w:rPr>
                <w:rFonts w:ascii="PT Astra Serif" w:eastAsia="SimSun" w:hAnsi="PT Astra Serif"/>
                <w:bCs/>
                <w:sz w:val="26"/>
                <w:szCs w:val="26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eastAsia="ar-SA"/>
              </w:rPr>
              <w:t>Ожидаемая продолжительность жизни при рождении</w:t>
            </w:r>
          </w:p>
        </w:tc>
        <w:tc>
          <w:tcPr>
            <w:tcW w:w="2552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Хубезов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Д.А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–заместитель Председателя Правительства Республики Алтай, министр здравоохранения Республики Алтай</w:t>
            </w:r>
          </w:p>
        </w:tc>
        <w:tc>
          <w:tcPr>
            <w:tcW w:w="3118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7C02BA" w:rsidTr="001E68FE"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Уровень бедности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образования и науки Республики Алтай 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6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Удовлетворенность граждан условиями для занятий физической культурой и спортом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молодежной политики и спорта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сельского хозяйства Республики Алтай 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7</w:t>
            </w: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Удовлетворенность участников специальной военной операции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условиями для медицинской реабилитации, переобучения и трудоустройства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Малчинов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Э.Н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–Первый заместитель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 xml:space="preserve">Администрация Главы Республики Алтай 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Уровень образования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rPr>
          <w:trHeight w:val="634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9</w:t>
            </w: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rPr>
          <w:trHeight w:val="46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молодежной политики и спорта Республики Алтай</w:t>
            </w:r>
          </w:p>
        </w:tc>
      </w:tr>
      <w:tr w:rsidR="00770B43" w:rsidRPr="00D461EB" w:rsidTr="001E68FE">
        <w:trPr>
          <w:trHeight w:val="84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10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Доля людей, вовлеченных в добровольческую деятельность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Министерство молодежной политики и спорта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Министерство здравоохранения Республики Алтай</w:t>
            </w:r>
          </w:p>
        </w:tc>
      </w:tr>
      <w:tr w:rsidR="00770B43" w:rsidRPr="00D461EB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природных ресурсов и экологии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сельского хозяйства Республики Алтай 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транспорта и дорожного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хозяйства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юстиции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гражданской обороне, чрезвычайным ситуациям и пожарной безопасности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контролю (надзору) Республики Алтай</w:t>
            </w:r>
          </w:p>
        </w:tc>
      </w:tr>
      <w:tr w:rsidR="00770B43" w:rsidRPr="00D461EB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национальной политике и связям с общественностью Республики Алтай</w:t>
            </w:r>
          </w:p>
        </w:tc>
      </w:tr>
      <w:tr w:rsidR="00770B43" w:rsidRPr="007C02BA" w:rsidTr="001E68FE">
        <w:trPr>
          <w:trHeight w:val="8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Инспекция по государственной охране объектов культурного наследия Республики Алтай</w:t>
            </w:r>
          </w:p>
        </w:tc>
      </w:tr>
      <w:tr w:rsidR="00770B43" w:rsidRPr="00D461EB" w:rsidTr="001E68FE">
        <w:trPr>
          <w:trHeight w:val="276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11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Условия для воспитания гармонично развитой, патриотичной и социально ответственной личности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Сумин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 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молодежной политики и спорта Республики Алтай 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культуры Республики Алтай </w:t>
            </w:r>
          </w:p>
        </w:tc>
      </w:tr>
      <w:tr w:rsidR="00770B43" w:rsidRPr="007C02BA" w:rsidTr="001E68FE">
        <w:trPr>
          <w:trHeight w:val="27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D461EB" w:rsidTr="001E68FE">
        <w:trPr>
          <w:trHeight w:val="27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финансов Республики Алтай </w:t>
            </w:r>
          </w:p>
        </w:tc>
      </w:tr>
      <w:tr w:rsidR="00770B43" w:rsidRPr="007C02BA" w:rsidTr="001E68FE">
        <w:trPr>
          <w:trHeight w:val="27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7C02BA" w:rsidTr="001E68FE">
        <w:trPr>
          <w:trHeight w:val="27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D461EB" w:rsidTr="001E68FE">
        <w:trPr>
          <w:trHeight w:val="27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национальной политике и связям с общественностью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12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Количество семей, улучшивших жилищные условия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Черников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А.М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молодежной политики и спорта Республики Алтай 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7C02BA" w:rsidTr="001E68FE">
        <w:trPr>
          <w:trHeight w:val="345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7C02BA" w:rsidTr="001E68FE">
        <w:trPr>
          <w:trHeight w:val="690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13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Объем ввода в эксплуатацию жилой и нежилой недвижимости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Черников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А.М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–заместитель 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7C02BA" w:rsidTr="001E68FE">
        <w:trPr>
          <w:trHeight w:val="69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7C02BA" w:rsidTr="001E68FE">
        <w:trPr>
          <w:trHeight w:val="69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контролю (надзору) Республики Алтай</w:t>
            </w:r>
          </w:p>
        </w:tc>
      </w:tr>
      <w:tr w:rsidR="00770B43" w:rsidRPr="00D461EB" w:rsidTr="001E68FE"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14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Качество среды для жизни в опорных населенных пунктах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Петровская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И.В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</w:t>
            </w:r>
            <w:r w:rsidR="002F0DBA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заместитель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Председателя Правительства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D461EB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молодежной политики и спорта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транспорта и дорожного хозяйства Республики Алтай</w:t>
            </w:r>
          </w:p>
        </w:tc>
      </w:tr>
      <w:tr w:rsidR="00770B43" w:rsidRPr="007C02BA" w:rsidTr="001E68FE"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D461EB" w:rsidTr="001E68FE">
        <w:tc>
          <w:tcPr>
            <w:tcW w:w="66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15</w:t>
            </w:r>
          </w:p>
        </w:tc>
        <w:tc>
          <w:tcPr>
            <w:tcW w:w="3873" w:type="dxa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Доля автомобильных дорог крупнейших городских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агломераций и автомобильных дорог регионального значения (включая дороги, отнесенные к опорной сети автомобильных дорог), соответствующих нормативам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 xml:space="preserve">Черников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А.М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–заместитель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Председателя Правительства Республики Алтай</w:t>
            </w:r>
          </w:p>
        </w:tc>
        <w:tc>
          <w:tcPr>
            <w:tcW w:w="3118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 xml:space="preserve">Министерство транспорта и дорожного хозяйства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-</w:t>
            </w:r>
          </w:p>
        </w:tc>
      </w:tr>
      <w:tr w:rsidR="00770B43" w:rsidRPr="00D461EB" w:rsidTr="001E68FE">
        <w:tc>
          <w:tcPr>
            <w:tcW w:w="66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16</w:t>
            </w:r>
          </w:p>
        </w:tc>
        <w:tc>
          <w:tcPr>
            <w:tcW w:w="3873" w:type="dxa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Доля парка общественного транспорта, имеющего срок эксплуатации не старше нормативного, в агломерациях и городах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Черников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А.М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–заместитель Председателя Правительства Республики Алтай</w:t>
            </w:r>
          </w:p>
        </w:tc>
        <w:tc>
          <w:tcPr>
            <w:tcW w:w="3118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транспорта и дорожного хозяйства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770B43" w:rsidRPr="007C02BA" w:rsidTr="001E68FE">
        <w:tc>
          <w:tcPr>
            <w:tcW w:w="66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17</w:t>
            </w:r>
          </w:p>
        </w:tc>
        <w:tc>
          <w:tcPr>
            <w:tcW w:w="3873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Качество окружающей среды</w:t>
            </w:r>
          </w:p>
        </w:tc>
        <w:tc>
          <w:tcPr>
            <w:tcW w:w="2552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Челтугашев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В.Г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–исполняющий обязанности заместителя Председателя Правительства Республики Алтай, министра природных ресурсов и экологии Республики Алтай</w:t>
            </w:r>
          </w:p>
        </w:tc>
        <w:tc>
          <w:tcPr>
            <w:tcW w:w="3118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природных ресурсов и экологии Республики Алтай</w:t>
            </w: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D461EB" w:rsidTr="001E68FE">
        <w:trPr>
          <w:trHeight w:val="230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18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Темп роста (индекс роста) реального среднедушевого денежного дохода населения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 xml:space="preserve">Петровская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И.В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</w:t>
            </w:r>
            <w:r w:rsidR="002F0DBA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заместитель</w:t>
            </w:r>
            <w:r w:rsidR="002F0DBA"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Председателя Правительства Республики Алтай 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Министерство экономического развития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Министерство здравоохранения Республики Алтай</w:t>
            </w:r>
          </w:p>
        </w:tc>
      </w:tr>
      <w:tr w:rsidR="00770B43" w:rsidRPr="00D461EB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культуры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молодежной политики и спорта Республики Алтай</w:t>
            </w:r>
          </w:p>
        </w:tc>
      </w:tr>
      <w:tr w:rsidR="00770B43" w:rsidRPr="007C02BA" w:rsidTr="001E68FE">
        <w:trPr>
          <w:trHeight w:val="486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природных ресурсов и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экологии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Министерство сельского хозяйства Республики Алтай 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транспорта и дорожного хозяйства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D461EB" w:rsidTr="001E68FE">
        <w:trPr>
          <w:trHeight w:val="23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юстиции Республики Алтай</w:t>
            </w:r>
          </w:p>
        </w:tc>
      </w:tr>
      <w:tr w:rsidR="00770B43" w:rsidRPr="007C02BA" w:rsidTr="001E68FE">
        <w:trPr>
          <w:trHeight w:val="274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19</w:t>
            </w: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Петровская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И.В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</w:t>
            </w:r>
            <w:r w:rsidR="002F0DBA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заместитель</w:t>
            </w:r>
            <w:r w:rsidR="002F0DBA"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7C02BA" w:rsidTr="001E68FE">
        <w:trPr>
          <w:trHeight w:val="483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D461EB" w:rsidTr="001E68FE">
        <w:trPr>
          <w:trHeight w:val="483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483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</w:tc>
      </w:tr>
      <w:tr w:rsidR="00770B43" w:rsidRPr="007C02BA" w:rsidTr="001E68FE">
        <w:trPr>
          <w:trHeight w:val="460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20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Темп роста дохода в расчете на одного работника субъекта малого и среднего предпринимательства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Петровская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И.В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. –</w:t>
            </w:r>
            <w:r w:rsidR="002F0DBA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заместитель</w:t>
            </w:r>
            <w:r w:rsidR="002F0DBA"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 </w:t>
            </w: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Председателя Правительства Республики Алтай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сельского хозяйства Республики Алтай</w:t>
            </w:r>
          </w:p>
        </w:tc>
      </w:tr>
      <w:tr w:rsidR="00770B43" w:rsidRPr="007C02BA" w:rsidTr="001E68FE">
        <w:trPr>
          <w:trHeight w:val="460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17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D461EB" w:rsidTr="001E68FE">
        <w:trPr>
          <w:trHeight w:val="333"/>
        </w:trPr>
        <w:tc>
          <w:tcPr>
            <w:tcW w:w="663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lastRenderedPageBreak/>
              <w:t>21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 w:val="restart"/>
          </w:tcPr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Жаворонков </w:t>
            </w:r>
            <w:proofErr w:type="spellStart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М.К</w:t>
            </w:r>
            <w:proofErr w:type="spellEnd"/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 xml:space="preserve">. – руководитель Администрации Главы Республики Алтай </w:t>
            </w:r>
          </w:p>
        </w:tc>
        <w:tc>
          <w:tcPr>
            <w:tcW w:w="3118" w:type="dxa"/>
            <w:vMerge w:val="restart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цифрового развития Республики Алтай</w:t>
            </w: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здравоохранения Республики Алтай</w:t>
            </w:r>
          </w:p>
        </w:tc>
      </w:tr>
      <w:tr w:rsidR="00770B43" w:rsidRPr="007C02BA" w:rsidTr="001E68FE">
        <w:trPr>
          <w:trHeight w:val="333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образования и науки Республики Алтай</w:t>
            </w:r>
          </w:p>
        </w:tc>
      </w:tr>
      <w:tr w:rsidR="00770B43" w:rsidRPr="007C02BA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строительства и жилищно-коммунального хозяйства Республики Алтай</w:t>
            </w:r>
          </w:p>
        </w:tc>
      </w:tr>
      <w:tr w:rsidR="00770B43" w:rsidRPr="007C02BA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транспорта и дорожного хозяйства Республики Алтай</w:t>
            </w:r>
          </w:p>
        </w:tc>
      </w:tr>
      <w:tr w:rsidR="00770B43" w:rsidRPr="007C02BA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труда, социального развития и занятости населения Республики Алтай</w:t>
            </w:r>
          </w:p>
        </w:tc>
      </w:tr>
      <w:tr w:rsidR="00770B43" w:rsidRPr="00D461EB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финансов Республики Алтай</w:t>
            </w:r>
          </w:p>
        </w:tc>
      </w:tr>
      <w:tr w:rsidR="00770B43" w:rsidRPr="007C02BA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Министерство экономического развития Республики Алтай</w:t>
            </w:r>
          </w:p>
        </w:tc>
      </w:tr>
      <w:tr w:rsidR="00770B43" w:rsidRPr="007C02BA" w:rsidTr="001E68FE">
        <w:trPr>
          <w:trHeight w:val="331"/>
        </w:trPr>
        <w:tc>
          <w:tcPr>
            <w:tcW w:w="66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873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  <w:vMerge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770B43" w:rsidRPr="00D461EB" w:rsidRDefault="00770B43" w:rsidP="001E68F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</w:pPr>
            <w:r w:rsidRPr="00D461EB">
              <w:rPr>
                <w:rFonts w:ascii="PT Astra Serif" w:eastAsia="SimSun" w:hAnsi="PT Astra Serif"/>
                <w:bCs/>
                <w:sz w:val="26"/>
                <w:szCs w:val="26"/>
                <w:lang w:val="ru-RU"/>
              </w:rPr>
              <w:t>Комитет по контролю (надзору) Республики Алтай».</w:t>
            </w:r>
          </w:p>
        </w:tc>
      </w:tr>
    </w:tbl>
    <w:p w:rsidR="00770B43" w:rsidRDefault="00770B43">
      <w:pPr>
        <w:spacing w:line="248" w:lineRule="exact"/>
        <w:ind w:left="7115"/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</w:pPr>
    </w:p>
    <w:p w:rsidR="00770B43" w:rsidRDefault="00770B43">
      <w:pPr>
        <w:spacing w:line="248" w:lineRule="exact"/>
        <w:ind w:left="7115"/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</w:pPr>
    </w:p>
    <w:p w:rsidR="00770B43" w:rsidRDefault="00770B43">
      <w:pPr>
        <w:spacing w:line="248" w:lineRule="exact"/>
        <w:ind w:left="7115"/>
        <w:rPr>
          <w:rFonts w:ascii="PT Astra Serif" w:hAnsi="PT Astra Serif" w:cs="Times"/>
          <w:b/>
          <w:bCs/>
          <w:color w:val="000000"/>
          <w:sz w:val="28"/>
          <w:szCs w:val="28"/>
          <w:lang w:val="ru-RU"/>
        </w:rPr>
      </w:pPr>
    </w:p>
    <w:p w:rsidR="00C4544F" w:rsidRPr="00163609" w:rsidRDefault="00A25B6B">
      <w:pPr>
        <w:spacing w:before="60" w:line="235" w:lineRule="exact"/>
        <w:ind w:left="6464"/>
        <w:rPr>
          <w:rFonts w:ascii="PT Astra Serif" w:hAnsi="PT Astra Serif" w:cs="Times New Roman"/>
          <w:color w:val="010302"/>
        </w:rPr>
        <w:sectPr w:rsidR="00C4544F" w:rsidRPr="00163609" w:rsidSect="00570362">
          <w:type w:val="continuous"/>
          <w:pgSz w:w="16850" w:h="12390"/>
          <w:pgMar w:top="343" w:right="500" w:bottom="993" w:left="500" w:header="708" w:footer="708" w:gutter="0"/>
          <w:cols w:space="720"/>
          <w:docGrid w:linePitch="360"/>
        </w:sectPr>
      </w:pP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57" name="Freeform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E64FE" id="Freeform 857" o:spid="_x0000_s1026" style="position:absolute;margin-left:56.4pt;margin-top:-.25pt;width:.5pt;height:.5pt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4560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58" name="Freeform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BAB4E" id="Freeform 858" o:spid="_x0000_s1026" style="position:absolute;margin-left:56.4pt;margin-top:-.25pt;width:.5pt;height:.5pt;z-index: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fgWg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>
                <wp:simplePos x="0" y="0"/>
                <wp:positionH relativeFrom="page">
                  <wp:posOffset>1136903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59" name="Freeform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2C07E" id="Freeform 859" o:spid="_x0000_s1026" style="position:absolute;margin-left:89.5pt;margin-top:-.25pt;width:.5pt;height:.5pt;z-index: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60" name="Freeform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B4DB5" id="Freeform 860" o:spid="_x0000_s1026" style="position:absolute;margin-left:283.2pt;margin-top:-.25pt;width:.5pt;height:.5pt;z-index: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ol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bfrlA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>
                <wp:simplePos x="0" y="0"/>
                <wp:positionH relativeFrom="page">
                  <wp:posOffset>5218176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61" name="Freeform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2A4FF" id="Freeform 861" o:spid="_x0000_s1026" style="position:absolute;margin-left:410.9pt;margin-top:-.25pt;width:.5pt;height:.5pt;z-index: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Fi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2X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>
                <wp:simplePos x="0" y="0"/>
                <wp:positionH relativeFrom="page">
                  <wp:posOffset>7016495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62" name="Freeform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C3995" id="Freeform 862" o:spid="_x0000_s1026" style="position:absolute;margin-left:552.5pt;margin-top:-.25pt;width:.5pt;height:.5pt;z-index: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yr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0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>
                <wp:simplePos x="0" y="0"/>
                <wp:positionH relativeFrom="page">
                  <wp:posOffset>10256519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63" name="Freeform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7B0B3" id="Freeform 863" o:spid="_x0000_s1026" style="position:absolute;margin-left:807.6pt;margin-top:-.25pt;width:.5pt;height:.5pt;z-index: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page">
                  <wp:posOffset>10256519</wp:posOffset>
                </wp:positionH>
                <wp:positionV relativeFrom="line">
                  <wp:posOffset>-3285</wp:posOffset>
                </wp:positionV>
                <wp:extent cx="6096" cy="6096"/>
                <wp:effectExtent l="0" t="0" r="0" b="0"/>
                <wp:wrapNone/>
                <wp:docPr id="864" name="Freeform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B34E4" id="Freeform 864" o:spid="_x0000_s1026" style="position:absolute;margin-left:807.6pt;margin-top:-.25pt;width:.5pt;height:.5pt;z-index: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63609">
        <w:rPr>
          <w:rFonts w:ascii="PT Astra Serif" w:hAnsi="PT Astra Serif" w:cs="Times"/>
          <w:color w:val="000000"/>
          <w:sz w:val="26"/>
          <w:szCs w:val="26"/>
          <w:lang w:val="ru-RU"/>
        </w:rPr>
        <w:t>______________________</w:t>
      </w:r>
      <w:r w:rsidR="00163609">
        <w:rPr>
          <w:rFonts w:ascii="PT Astra Serif" w:hAnsi="PT Astra Serif" w:cs="Times"/>
          <w:color w:val="000000"/>
          <w:sz w:val="26"/>
          <w:szCs w:val="26"/>
          <w:lang w:val="ru-RU"/>
        </w:rPr>
        <w:t xml:space="preserve"> </w:t>
      </w:r>
    </w:p>
    <w:p w:rsidR="00C4544F" w:rsidRPr="00163609" w:rsidRDefault="00C4544F">
      <w:pPr>
        <w:rPr>
          <w:rFonts w:ascii="PT Astra Serif" w:hAnsi="PT Astra Serif"/>
        </w:rPr>
      </w:pPr>
    </w:p>
    <w:sectPr w:rsidR="00C4544F" w:rsidRPr="00163609">
      <w:type w:val="continuous"/>
      <w:pgSz w:w="16850" w:h="1239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F9" w:rsidRDefault="007D71F9" w:rsidP="0069558D">
      <w:r>
        <w:separator/>
      </w:r>
    </w:p>
  </w:endnote>
  <w:endnote w:type="continuationSeparator" w:id="0">
    <w:p w:rsidR="007D71F9" w:rsidRDefault="007D71F9" w:rsidP="0069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F9" w:rsidRDefault="007D71F9" w:rsidP="0069558D">
      <w:r>
        <w:separator/>
      </w:r>
    </w:p>
  </w:footnote>
  <w:footnote w:type="continuationSeparator" w:id="0">
    <w:p w:rsidR="007D71F9" w:rsidRDefault="007D71F9" w:rsidP="0069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89662"/>
      <w:docPartObj>
        <w:docPartGallery w:val="Page Numbers (Top of Page)"/>
        <w:docPartUnique/>
      </w:docPartObj>
    </w:sdtPr>
    <w:sdtEndPr/>
    <w:sdtContent>
      <w:p w:rsidR="00A25B6B" w:rsidRDefault="00A25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2BA" w:rsidRPr="007C02BA">
          <w:rPr>
            <w:noProof/>
            <w:lang w:val="ru-RU"/>
          </w:rPr>
          <w:t>6</w:t>
        </w:r>
        <w:r>
          <w:fldChar w:fldCharType="end"/>
        </w:r>
      </w:p>
    </w:sdtContent>
  </w:sdt>
  <w:p w:rsidR="00A25B6B" w:rsidRDefault="00A25B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4F"/>
    <w:rsid w:val="000C2D2B"/>
    <w:rsid w:val="00163609"/>
    <w:rsid w:val="00295906"/>
    <w:rsid w:val="002F0DBA"/>
    <w:rsid w:val="003530E6"/>
    <w:rsid w:val="00436609"/>
    <w:rsid w:val="004C33AE"/>
    <w:rsid w:val="004E604C"/>
    <w:rsid w:val="00570362"/>
    <w:rsid w:val="0069558D"/>
    <w:rsid w:val="00770B43"/>
    <w:rsid w:val="007C02BA"/>
    <w:rsid w:val="007D71F9"/>
    <w:rsid w:val="00810189"/>
    <w:rsid w:val="0088068C"/>
    <w:rsid w:val="00A25B6B"/>
    <w:rsid w:val="00A73688"/>
    <w:rsid w:val="00AB03C6"/>
    <w:rsid w:val="00AD0C7D"/>
    <w:rsid w:val="00BB2BB7"/>
    <w:rsid w:val="00C4544F"/>
    <w:rsid w:val="00D33103"/>
    <w:rsid w:val="00D461EB"/>
    <w:rsid w:val="00E2317E"/>
    <w:rsid w:val="00E35CDB"/>
    <w:rsid w:val="00F814BF"/>
    <w:rsid w:val="00F9195D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15AD-A1F0-4BC9-B1F3-22ECB5C3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558D"/>
  </w:style>
  <w:style w:type="paragraph" w:styleId="a8">
    <w:name w:val="footer"/>
    <w:basedOn w:val="a"/>
    <w:link w:val="a9"/>
    <w:uiPriority w:val="99"/>
    <w:unhideWhenUsed/>
    <w:rsid w:val="00695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558D"/>
  </w:style>
  <w:style w:type="paragraph" w:styleId="aa">
    <w:name w:val="Normal (Web)"/>
    <w:basedOn w:val="a"/>
    <w:uiPriority w:val="99"/>
    <w:unhideWhenUsed/>
    <w:rsid w:val="00770B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Минэкономразвития РА</cp:lastModifiedBy>
  <cp:revision>25</cp:revision>
  <dcterms:created xsi:type="dcterms:W3CDTF">2026-04-14T04:26:00Z</dcterms:created>
  <dcterms:modified xsi:type="dcterms:W3CDTF">2026-04-14T05:00:00Z</dcterms:modified>
</cp:coreProperties>
</file>