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sdt>
      <w:sdtPr>
        <w15:appearance w15:val="boundingBox"/>
        <w:id w:val="-1285173061"/>
        <w:lock w:val="contentLocked"/>
        <w:tag w:val="goog_rdk_0"/>
        <w:rPr>
          <w:sz w:val="22"/>
          <w:szCs w:val="22"/>
        </w:rPr>
      </w:sdtPr>
      <w:sdtContent>
        <w:tbl>
          <w:tblPr>
            <w:tblStyle w:val="639"/>
            <w:tblW w:w="10470" w:type="dxa"/>
            <w:tblInd w:w="-983" w:type="dxa"/>
            <w:tbl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blBorders>
            <w:tblLayout w:type="fixed"/>
            <w:tblLook w:val="0400" w:firstRow="0" w:lastRow="0" w:firstColumn="0" w:lastColumn="0" w:noHBand="0" w:noVBand="1"/>
          </w:tblPr>
          <w:tblGrid>
            <w:gridCol w:w="1695"/>
            <w:gridCol w:w="8775"/>
          </w:tblGrid>
          <w:tr>
            <w:tblPrEx/>
            <w:trPr/>
            <w:tc>
              <w:tcPr>
                <w:gridSpan w:val="2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tcW w:w="10470" w:type="dxa"/>
                <w:textDirection w:val="lrTb"/>
                <w:noWrap w:val="false"/>
              </w:tcPr>
              <w:p>
                <w:pPr>
                  <w:jc w:val="center"/>
                  <w:spacing w:line="240" w:lineRule="auto"/>
                  <w:tabs>
                    <w:tab w:val="left" w:pos="2810" w:leader="none"/>
                  </w:tabs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План мероприятий на сентябрь 2026 г.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jc w:val="center"/>
                  <w:spacing w:line="240" w:lineRule="auto"/>
                  <w:tabs>
                    <w:tab w:val="left" w:pos="2810" w:leader="none"/>
                  </w:tabs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</w:tr>
          <w:tr>
            <w:tblPrEx/>
            <w:trPr>
              <w:trHeight w:val="2520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 сентября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вторник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«Старт первого этапа обязательной маркировки круп, макарон, муки и смесей для приготовления теста, каш, мюсли, картофеля быстрого приготовления, меда»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Александр Буч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управления безакцизной пищевой продукции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9" w:tooltip="https://xn--80ajghhoc2aj1c8b.xn--p1ai/lectures/vebinary/?ELEMENT_ID=506622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https://xn--80ajghhoc2aj1c8b.xn--p1ai/lectures/vebinary/?ELEMENT_ID=506622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blPrEx/>
            <w:trPr>
              <w:trHeight w:val="3939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 сентября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среда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«ЭДО, ОСУ и виртуальный склад (ВС) в товарной группе «Бакалея» с 1.09.26 г.»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Елена Воробьева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Менеджер по внедрению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Дмитрий Субботин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товарной группы «Бакалейная продукция»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Екатерина Сидельникова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«Бакалейная продукция»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/>
                <w:hyperlink r:id="rId10" w:tooltip="https://xn--80ajghhoc2aj1c8b.xn--p1ai/lectures/vebinary/?ELEMENT_ID=505314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https://xn--80ajghhoc2aj1c8b.xn--p1ai/lectures/vebinary/?ELEMENT_ID=505314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</w:tr>
          <w:tr>
            <w:tblPrEx/>
            <w:trPr>
              <w:trHeight w:val="1976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 сентября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среда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«БАДы. Заполнение мест осуществлений деятельности (МОД)»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Федор Сидоренко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Аккаунт-менеджер товарных групп «БАД» и «Спортивное питание»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11" w:tooltip="https://xn--80ajghhoc2aj1c8b.xn--p1ai/lectures/vebinary/?ELEMENT_ID=506755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https://xn--80ajghhoc2aj1c8b.xn--p1ai/lectures/vebinary/?ELEMENT_ID=506755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blPrEx/>
            <w:trPr>
              <w:trHeight w:val="4215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 сентября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среда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jc w:val="both"/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Открытый микрофон: вопросы по импорту в товарной группе «Строительные материалы»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Дмитрий Воробьев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товарной группы «Строительные материалы»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Александр Писанко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в товарной группе «Строительные материалы»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Иван Газин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«Парфюмерно-косметическая продукция и бытовая химия»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color w:val="0000ff"/>
                  </w:rPr>
                </w:pPr>
                <w:r>
                  <w:rPr>
                    <w:rFonts w:ascii="Times New Roman" w:hAnsi="Times New Roman" w:eastAsia="Times New Roman" w:cs="Times New Roman"/>
                    <w:color w:val="0000ff"/>
                  </w:rPr>
                </w:r>
                <w:r>
                  <w:rPr>
                    <w:rFonts w:ascii="Times New Roman" w:hAnsi="Times New Roman" w:eastAsia="Times New Roman" w:cs="Times New Roman"/>
                    <w:color w:val="0000ff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color w:val="0000ff"/>
                  </w:rPr>
                </w:pPr>
                <w:r/>
                <w:hyperlink r:id="rId12" w:tooltip="https://xn--80ajghhoc2aj1c8b.xn--p1ai/lectures/vebinary/?ELEMENT_ID=507020" w:history="1">
                  <w:r>
                    <w:rPr>
                      <w:rFonts w:ascii="Times New Roman" w:hAnsi="Times New Roman" w:eastAsia="Times New Roman" w:cs="Times New Roman"/>
                      <w:color w:val="0000ff"/>
                      <w:u w:val="single"/>
                    </w:rPr>
                    <w:t xml:space="preserve">https://xn--80ajghhoc2aj1c8b.xn--p1ai/lectures/vebinary/?ELEMENT_ID=507020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  <w:color w:val="0000ff"/>
                  </w:rPr>
                </w:r>
              </w:p>
            </w:tc>
          </w:tr>
          <w:tr>
            <w:tblPrEx/>
            <w:trPr>
              <w:trHeight w:val="4187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 сентября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среда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12:00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«Технические решения для маркировки отдельных видов хозяйственных, санитарно-гигиенических изделий и туалетных принадлежностей»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Анна Налимова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Управления товаров народного потребления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Яна Турчина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продуктовый эксперт АО «СКБ Контур»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Георгий Швангирадзе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директор по развитию ПАО «Промомед»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/>
                <w:hyperlink r:id="rId13" w:tooltip="https://xn--80ajghhoc2aj1c8b.xn--p1ai/lectures/vebinary/?ELEMENT_ID=506455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https://xn--80ajghhoc2aj1c8b.xn--p1ai/lectures/vebinary/?ELEMENT_ID=506455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</w:tr>
          <w:tr>
            <w:tblPrEx/>
            <w:trPr>
              <w:trHeight w:val="3107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3 сентября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четверг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Открытый микрофон по вопросам работы маркированными ветеринарными препаратами с использованием ЭДО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Вильнур Шагиахметов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товарной группы «Ветеринарные препараты»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Алена Игнатова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внедрения отдела технического внедрения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14" w:tooltip="https://xn--80ajghhoc2aj1c8b.xn--p1ai/lectures/vebinary/?ELEMENT_ID=506394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https://xn--80ajghhoc2aj1c8b.xn--p1ai/lectures/vebinary/?ELEMENT_ID=506394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blPrEx/>
            <w:trPr>
              <w:trHeight w:val="3071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3 сентября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четверг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«Сладости и кондитерские изделия. Партионный учет. Основные этапы и базовые процессы»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Екатерина Васильцова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Ведущий бизнес-аналитик товарной группы «Сладости и кондитерские изделия»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Екатерина Сидельникова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«Сладости и кондитерские изделия»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15" w:tooltip="https://xn--80ajghhoc2aj1c8b.xn--p1ai/lectures/vebinary/?ELEMENT_ID=501074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https://xn--80ajghhoc2aj1c8b.xn--p1ai/lectures/vebinary/?ELEMENT_ID=501074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blPrEx/>
            <w:trPr>
              <w:trHeight w:val="2252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3 сентября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четверг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13:00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«Общая информация о товарной группе. Сроки, этапы, как зарегистрироваться в системе, как начать работать»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Владимир Боряев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Архитектор индустриальных решений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16" w:tooltip="https://xn--80ajghhoc2aj1c8b.xn--p1ai/lectures/vebinary/?ELEMENT_ID=506123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https://xn--80ajghhoc2aj1c8b.xn--p1ai/lectures/vebinary/?ELEMENT_ID=506123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blPrEx/>
            <w:trPr>
              <w:trHeight w:val="3893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4 сентября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пятница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12:00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«Нарушения в работе с маркировкой. Статистика отклонений. Автоштрафы»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Ольга Андриенко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департамента аналитики КНД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Светлана Глазова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проектов, Проектный офис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Надежда Багдасарова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«Моторные масла»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17" w:tooltip="https://xn--80ajghhoc2aj1c8b.xn--p1ai/lectures/vebinary/?ELEMENT_ID=506690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https://xn--80ajghhoc2aj1c8b.xn--p1ai/lectures/vebinary/?ELEMENT_ID=506690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blPrEx/>
            <w:trPr>
              <w:trHeight w:val="2222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7 сентября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понедельник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«Общая информация о товарной группе. Сроки, этапы, как зарегистрироваться в системе, как начать работать»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Владимир Боряев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Архитектор индустриальных решений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18" w:tooltip="https://xn--80ajghhoc2aj1c8b.xn--p1ai/lectures/vebinary/?ELEMENT_ID=506095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https://xn--80ajghhoc2aj1c8b.xn--p1ai/lectures/vebinary/?ELEMENT_ID=506095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blPrEx/>
            <w:trPr>
              <w:trHeight w:val="2789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8 сентября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вторник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«Польза маркировки: 50 причин для потребителя и 50 для селлера»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Степан Латунов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Директор ООО «ПроМер.Ру»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Валентина Климушкина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«Товары для дома и интерьера»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19" w:tooltip="https://xn--80ajghhoc2aj1c8b.xn--p1ai/lectures/vebinary/?ELEMENT_ID=504993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https://xn--80ajghhoc2aj1c8b.xn--p1ai/lectures/vebinary/?ELEMENT_ID=504993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blPrEx/>
            <w:trPr>
              <w:trHeight w:val="3878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9 сентября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среда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Партнёрский вебинар «Промежуточный срез готовности молочной отрасли к партионному учету»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Артем Мельников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«Молочная продукция»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Владислав Кузнецов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Аналитик 1С, Константа ИТ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Роман Леонтьев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Исполнительный директор, «Е4»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20" w:tooltip="https://xn--80ajghhoc2aj1c8b.xn--p1ai/lectures/vebinary/?ELEMENT_ID=506006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https://xn--80ajghhoc2aj1c8b.xn--p1ai/lectures/vebinary/?ELEMENT_ID=506006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blPrEx/>
            <w:trPr>
              <w:trHeight w:val="3929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 сентября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четверг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«Строительные материалы: подготовка оптово-розничного звена, работа с маркировкой  на примере систем 1С:Предприятие»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Максим Ваторин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маркировки «Лиансофт»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Дмитрий Воробьев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товарной группы «Строительные материалы»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Александр Писанко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«Строительные материалы»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/>
                <w:hyperlink r:id="rId21" w:tooltip="https://xn--80ajghhoc2aj1c8b.xn--p1ai/lectures/vebinary/?ELEMENT_ID=506707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https://xn--80ajghhoc2aj1c8b.xn--p1ai/lectures/vebinary/?ELEMENT_ID=506707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</w:tr>
          <w:tr>
            <w:tblPrEx/>
            <w:trPr>
              <w:trHeight w:val="3071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 сентября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четверг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«Процессы импорта и экспорта в рамках товарной категории «Растворимые завариваемые напитки»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Андрей Пасухин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маркировки Растворимых завариваемых напитков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Анастасия Иванова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маркировки Растворимых завариваемых напитков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22" w:tooltip="https://xn--80ajghhoc2aj1c8b.xn--p1ai/lectures/vebinary/?ELEMENT_ID=505789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https://xn--80ajghhoc2aj1c8b.xn--p1ai/lectures/vebinary/?ELEMENT_ID=505789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blPrEx/>
            <w:trPr>
              <w:trHeight w:val="2155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 сентября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четверг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«Программное обеспечение Track and Trace System (сладости и кондитерские изделия)»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Ирина Ларина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товарной группы «Корма для животных»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Викторая Голубова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департамента производственных решений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rPr>
                    <w:rFonts w:ascii="Times New Roman" w:hAnsi="Times New Roman" w:eastAsia="Times New Roman" w:cs="Times New Roman"/>
                  </w:rPr>
                </w:pPr>
                <w:r/>
                <w:hyperlink r:id="rId23" w:tooltip="https://xn--80ajghhoc2aj1c8b.xn--p1ai/lectures/vebinary/?ELEMENT_ID=506511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https://xn--80ajghhoc2aj1c8b.xn--p1ai/lectures/vebinary/?ELEMENT_ID=506511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blPrEx/>
            <w:trPr>
              <w:trHeight w:val="3142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 сентября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пятница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Открытый микрофон по  планируемым изменениям в 675 ППРФ от 27.05.2024 г. и 1944 ППРФ от 21.11.2023 г.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Вильнур Шагиахметов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товарной группы «Ветеринарные препараты»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Александр Якушев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Консультант-аналитик товарной группы «Ветеринарные препараты»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24" w:tooltip="https://xn--80ajghhoc2aj1c8b.xn--p1ai/lectures/vebinary/?ELEMENT_ID=506560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https://xn--80ajghhoc2aj1c8b.xn--p1ai/lectures/vebinary/?ELEMENT_ID=506560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blPrEx/>
            <w:trPr>
              <w:trHeight w:val="2252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 сентября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пятница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«Товарная группа «Морепродукты»: разбор часто возникающих проблем»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Сергей Степанян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                     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25" w:tooltip="https://xn--80ajghhoc2aj1c8b.xn--p1ai/lectures/vebinary/?ELEMENT_ID=506506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https://xn--80ajghhoc2aj1c8b.xn--p1ai/lectures/vebinary/?ELEMENT_ID=506506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blPrEx/>
            <w:trPr>
              <w:trHeight w:val="3059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 сентября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пятница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12:00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«Особенности импорта и экспорта маркированной мясной продукции»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Дмитрий Корчагин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«Мясные изделия»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Анастасия Егорчева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26" w:tooltip="https://xn--80ajghhoc2aj1c8b.xn--p1ai/lectures/vebinary/?ELEMENT_ID=506299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https://xn--80ajghhoc2aj1c8b.xn--p1ai/lectures/vebinary/?ELEMENT_ID=506299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blPrEx/>
            <w:trPr>
              <w:trHeight w:val="3617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 сентября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пятница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12:00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«1 октября 2026 г. - старт разрешительного режима в товарной группе «Моторные масла». ТС ПИоТ»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Игорь Визгин руководитель проектов, ОГК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Алексей Пронин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менеджер проектов группы по партнерским решениям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Надежда Багдасарова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«Моторные масла»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27" w:tooltip="https://xn--80ajghhoc2aj1c8b.xn--p1ai/lectures/vebinary/?ELEMENT_ID=506685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https://xn--80ajghhoc2aj1c8b.xn--p1ai/lectures/vebinary/?ELEMENT_ID=506685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blPrEx/>
            <w:trPr>
              <w:trHeight w:val="3329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 сентября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пятница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14:00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Партнёрский вебинар «Обязательная маркировка в категории «Удобрения». Инструкция по применению»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Дарья Войтенко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«Удобрения»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Анастасия Ибнеева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директор по продукту Markirovka.Store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28" w:tooltip="https://xn--80ajghhoc2aj1c8b.xn--p1ai/lectures/vebinary/?ELEMENT_ID=507031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https://xn--80ajghhoc2aj1c8b.xn--p1ai/lectures/vebinary/?ELEMENT_ID=507031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blPrEx/>
            <w:trPr>
              <w:trHeight w:val="3075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14 сентября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понедельник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«Обязательные требования в 2026. Старт работы с маркировкой удобрений»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Кирилл Процков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Бизнес-аналитик товарной группы «Удобрения»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Дарья Войтенко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«Удобрения»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/>
                <w:hyperlink r:id="rId29" w:tooltip="https://xn--80ajghhoc2aj1c8b.xn--p1ai/lectures/vebinary/?ELEMENT_ID=506554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https://xn--80ajghhoc2aj1c8b.xn--p1ai/lectures/vebinary/?ELEMENT_ID=506554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</w:tr>
          <w:tr>
            <w:tblPrEx/>
            <w:trPr>
              <w:trHeight w:val="3939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15 сентября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вторник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«Работа с Честным Знаком и ФГИС ВеТис Меркурий для производителей натурального меда»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Евгений Пильщиков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Бизнес-аналитик управления безакцизной пищевой продукции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Евгений Фейерверкеров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управления безакцизной пищевой продукции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Александр Буч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управления безакцизной пищевой продукции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/>
                <w:hyperlink r:id="rId30" w:tooltip="https://xn--80ajghhoc2aj1c8b.xn--p1ai/lectures/vebinary/?ELEMENT_ID=506616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https://xn--80ajghhoc2aj1c8b.xn--p1ai/lectures/vebinary/?ELEMENT_ID=506616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</w:tr>
          <w:tr>
            <w:tblPrEx/>
            <w:trPr>
              <w:trHeight w:val="3083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16 августа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среда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«Базовые знания про партионный учет в товарной группе «Корма для животных»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Ирина Ларина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товарной группы «Корма для животных»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Наталья Синютина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Бизнес-аналитик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31" w:tooltip="https://xn--80ajghhoc2aj1c8b.xn--p1ai/lectures/vebinary/?ELEMENT_ID=506190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https://xn--80ajghhoc2aj1c8b.xn--p1ai/lectures/vebinary/?ELEMENT_ID=506190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blPrEx/>
            <w:trPr>
              <w:trHeight w:val="2252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17 сентября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четверг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«Общая информация о товарной группе. Сроки, этапы, как зарегистрироваться в системе, как начать работать»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Владимир Боряев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Архитектор индустриальных решений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32" w:tooltip="https://xn--80ajghhoc2aj1c8b.xn--p1ai/lectures/vebinary/?ELEMENT_ID=506103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https://xn--80ajghhoc2aj1c8b.xn--p1ai/lectures/vebinary/?ELEMENT_ID=506103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blPrEx/>
            <w:trPr>
              <w:trHeight w:val="3080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17 сентября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четверг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12:00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«Национальный каталог. Заведение карточек товаров, ГС1»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Екатерина Лапардина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«Полуфабрикаты и замороженная продукция»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Сарана Дабаин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Аналитик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33" w:tooltip="https://xn--80ajghhoc2aj1c8b.xn--p1ai/lectures/vebinary/?ELEMENT_ID=506099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https://xn--80ajghhoc2aj1c8b.xn--p1ai/lectures/vebinary/?ELEMENT_ID=506099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blPrEx/>
            <w:trPr>
              <w:trHeight w:val="2247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18 сентября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пятница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«Разрешительная документация. Этапы и описание товаров в Национальном каталоге»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Валерий Гостюшев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проектов, Управление товаров народного потребления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34" w:tooltip="https://xn--80ajghhoc2aj1c8b.xn--p1ai/lectures/vebinary/?ELEMENT_ID=506415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https://xn--80ajghhoc2aj1c8b.xn--p1ai/lectures/vebinary/?ELEMENT_ID=506415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blPrEx/>
            <w:trPr>
              <w:trHeight w:val="2237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18 сентября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пятница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12:00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«Общая структура личного кабинета. Регистрация, разделы, настройки (МОД, Субаккаунты и пр.)»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Татьяна Колмакова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Аналитик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35" w:tooltip="https://xn--80ajghhoc2aj1c8b.xn--p1ai/lectures/vebinary/?ELEMENT_ID=506138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https://xn--80ajghhoc2aj1c8b.xn--p1ai/lectures/vebinary/?ELEMENT_ID=506138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blPrEx/>
            <w:trPr>
              <w:trHeight w:val="2771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18 сентября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пятница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12:00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Вебинар: «В каких случаях и как скорректировать сведения о кодах»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Александр Перегудов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«Автозапчасти»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Надежда Багдасарова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«Моторные масла»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36" w:tooltip="https://xn--80ajghhoc2aj1c8b.xn--p1ai/lectures/vebinary/?ELEMENT_ID=506386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https://xn--80ajghhoc2aj1c8b.xn--p1ai/lectures/vebinary/?ELEMENT_ID=506386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blPrEx/>
            <w:trPr>
              <w:trHeight w:val="3071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18 сентября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пятница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13:00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«Национальный каталог, заведение карточек товаров, ГС1. Печатная продукция»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Светлана Старшинина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Аналитик группы по взаимодействию с отраслевыми управлениями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Игорь Горелов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проекта товарной группы «Печатная продукция»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37" w:tooltip="https://xn--80ajghhoc2aj1c8b.xn--p1ai/lectures/vebinary/?ELEMENT_ID=506288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https://xn--80ajghhoc2aj1c8b.xn--p1ai/lectures/vebinary/?ELEMENT_ID=506288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blPrEx/>
            <w:trPr>
              <w:trHeight w:val="2252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21 сентября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понедельник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«Карточки товаров и экземпляры карточек товаров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(международные, российские, индустриальные)»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Владимир Боряев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Архитектор индустриальных решений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38" w:tooltip="https://xn--80ajghhoc2aj1c8b.xn--p1ai/lectures/vebinary/?ELEMENT_ID=506131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https://xn--80ajghhoc2aj1c8b.xn--p1ai/lectures/vebinary/?ELEMENT_ID=506131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blPrEx/>
            <w:trPr>
              <w:trHeight w:val="3341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22 сентября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вторник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«Товарная группа «Товары для дома и интерьера» в системе 1С: обзор и демонстрация»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Юлия Ефимова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Коммерческий директор и руководитель направления Промышленной маркировки в филиале СПб компании «Первый БИТ»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Валентина Климушкина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«Товары для дома и интерьера»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39" w:tooltip="https://xn--80ajghhoc2aj1c8b.xn--p1ai/lectures/vebinary/?ELEMENT_ID=504998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https://xn--80ajghhoc2aj1c8b.xn--p1ai/lectures/vebinary/?ELEMENT_ID=504998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blPrEx/>
            <w:trPr>
              <w:trHeight w:val="2531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22 сентября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вторник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«Корма для животных: работа с ЭДО в рамках партионного учета»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Кристина Кулагина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«Сладости и кондитерские изделия»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Алёна Игнатова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внедрения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40" w:tooltip="https://xn--80ajghhoc2aj1c8b.xn--p1ai/lectures/vebinary/?ELEMENT_ID=505056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https://xn--80ajghhoc2aj1c8b.xn--p1ai/lectures/vebinary/?ELEMENT_ID=505056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blPrEx/>
            <w:trPr>
              <w:trHeight w:val="3887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22 сентября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вторник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12:00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jc w:val="both"/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«Регистрация и договоры для новых участников оборота санитарно-хозяйственных изделий и  туалетных принадлежностей»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jc w:val="both"/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Алена Парфененкова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Бизнес-аналитик Управление товаров народного потребления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Дмитрий Варфоламеев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Елена Дейнега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41" w:tooltip="https://xn--80ajghhoc2aj1c8b.xn--p1ai/lectures/vebinary/?ELEMENT_ID=506448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https://xn--80ajghhoc2aj1c8b.xn--p1ai/lectures/vebinary/?ELEMENT_ID=506448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blPrEx/>
            <w:trPr>
              <w:trHeight w:val="4490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23 сентября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среда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Партнёрский вебинар «Поэкземплярный учёт и автоштрафы в 2026 году»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Алёна Игнатова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внедрения отдела технического внедрения, ЦРПТ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Светлана Глазова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Проектного офиса, ЦРПТ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Ольга Андриенко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департамента аналитики КНД, ЦРПТ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Михаил Денисенко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Бизнес-аналитик по мобильной автоматизации, «Клеверенс»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42" w:tooltip="https://xn--80ajghhoc2aj1c8b.xn--p1ai/lectures/vebinary/?ELEMENT_ID=507058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https://xn--80ajghhoc2aj1c8b.xn--p1ai/lectures/vebinary/?ELEMENT_ID=507058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blPrEx/>
            <w:trPr>
              <w:trHeight w:val="1953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25 сентября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пятница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12:00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«Маркировка мясных изделий»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Екатерина Братанова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«Мясные изделия»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43" w:tooltip="https://xn--80ajghhoc2aj1c8b.xn--p1ai/lectures/vebinary/?ELEMENT_ID=506292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https://xn--80ajghhoc2aj1c8b.xn--p1ai/lectures/vebinary/?ELEMENT_ID=506292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blPrEx/>
            <w:trPr>
              <w:trHeight w:val="3899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25 сентября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пятница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12:00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jc w:val="both"/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Вебинар: «Маркировка товаров на иностранном производстве. Опыт внедрения от Вайланд Электроник и Клеверенс»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jc w:val="both"/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Александр Перегудов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«Автозапчасти»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Михаил Денисенко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бизнес-аналитик по мобильной автоматизации, Клеверенс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Сергей Ватажицин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директор по развитию Вайландт Электроник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44" w:tooltip="https://xn--80ajghhoc2aj1c8b.xn--p1ai/lectures/vebinary/?ELEMENT_ID=506410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https://xn--80ajghhoc2aj1c8b.xn--p1ai/lectures/vebinary/?ELEMENT_ID=506410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blPrEx/>
            <w:trPr>
              <w:trHeight w:val="3059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25 сентября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пятница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13:00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«Требования к качеству нанесения кодов. Печатная продукция»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Игорь Горелов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«Печатная продукция»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Максим Скитченко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Технический руководитель проектов. Группа внедрения производственных решений.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45" w:tooltip="https://xn--80ajghhoc2aj1c8b.xn--p1ai/lectures/vebinary/?ELEMENT_ID=506284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https://xn--80ajghhoc2aj1c8b.xn--p1ai/lectures/vebinary/?ELEMENT_ID=506284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blPrEx/>
            <w:trPr>
              <w:trHeight w:val="3899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28 сентября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понедельник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10:00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«Текущий статус перехода к обязательной маркировке. Заведение продукции в НК. ТОП-3 типовых ошибок»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Игорь Замешаев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товарной группы «Радиоэлектронная продукция»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Татьяна Колмакова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Аналитик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Алексей Бертан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Аккаунт-менеджер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46" w:tooltip="https://xn--80ajghhoc2aj1c8b.xn--p1ai/lectures/vebinary/?ELEMENT_ID=506650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https://xn--80ajghhoc2aj1c8b.xn--p1ai/lectures/vebinary/?ELEMENT_ID=506650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blPrEx/>
            <w:trPr>
              <w:trHeight w:val="2535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29 сентября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вторник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11:00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«Ответы на вопросы участников оборота круп, макарон, муки   и смесей для приготовления теста, каш, мюсли, картофеля быстрого приготовления, меда»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Александр Буч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управления безакцизной пищевой продукции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47" w:tooltip="https://xn--80ajghhoc2aj1c8b.xn--p1ai/lectures/vebinary/?ELEMENT_ID=506627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https://xn--80ajghhoc2aj1c8b.xn--p1ai/lectures/vebinary/?ELEMENT_ID=506627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  <w:tr>
            <w:tblPrEx/>
            <w:trPr>
              <w:trHeight w:val="3059"/>
            </w:trPr>
            <w:tc>
              <w:tcPr>
                <w:tcBorders>
                  <w:top w:val="single" w:color="000000" w:sz="6" w:space="0"/>
                  <w:left w:val="single" w:color="000000" w:sz="6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169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29 сентября 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вторник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12:00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</w:tc>
            <w:tc>
              <w:tcPr>
                <w:tcBorders>
                  <w:top w:val="single" w:color="000000" w:sz="6" w:space="0"/>
                  <w:left w:val="none" w:color="000000" w:sz="4" w:space="0"/>
                  <w:bottom w:val="single" w:color="000000" w:sz="6" w:space="0"/>
                  <w:right w:val="single" w:color="000000" w:sz="6" w:space="0"/>
                </w:tcBorders>
                <w:tcMar>
                  <w:left w:w="100" w:type="dxa"/>
                  <w:top w:w="0" w:type="dxa"/>
                  <w:right w:w="100" w:type="dxa"/>
                  <w:bottom w:w="0" w:type="dxa"/>
                </w:tcMar>
                <w:tcW w:w="8775" w:type="dxa"/>
                <w:textDirection w:val="lrTb"/>
                <w:noWrap w:val="false"/>
              </w:tcPr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Вебинар «Маркировка «санхоз» товаров: основные вопросы»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  <w:b/>
                    <w:bCs/>
                  </w:rPr>
                </w:pP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  <w:t xml:space="preserve">Спикеры:</w:t>
                </w:r>
                <w:r>
                  <w:rPr>
                    <w:rFonts w:ascii="Times New Roman" w:hAnsi="Times New Roman" w:eastAsia="Times New Roman" w:cs="Times New Roman"/>
                    <w:b/>
                    <w:bCs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Александра Сидоркова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проектов Управления товаров народного потребления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Дмитрий Варфоламеев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  <w:t xml:space="preserve">Руководитель направления товарной группы «Парфюмерно-косметическая продукция и бытовая химия» </w:t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>
                  <w:rPr>
                    <w:rFonts w:ascii="Times New Roman" w:hAnsi="Times New Roman" w:eastAsia="Times New Roman" w:cs="Times New Roman"/>
                  </w:rPr>
                </w:r>
                <w:r>
                  <w:rPr>
                    <w:rFonts w:ascii="Times New Roman" w:hAnsi="Times New Roman" w:eastAsia="Times New Roman" w:cs="Times New Roman"/>
                  </w:rPr>
                </w:r>
              </w:p>
              <w:p>
                <w:pPr>
                  <w:spacing w:line="240" w:lineRule="auto"/>
                  <w:rPr>
                    <w:rFonts w:ascii="Times New Roman" w:hAnsi="Times New Roman" w:eastAsia="Times New Roman" w:cs="Times New Roman"/>
                  </w:rPr>
                </w:pPr>
                <w:r/>
                <w:hyperlink r:id="rId48" w:tooltip="https://xn--80ajghhoc2aj1c8b.xn--p1ai/lectures/vebinary/?ELEMENT_ID=506441" w:history="1">
                  <w:r>
                    <w:rPr>
                      <w:rFonts w:ascii="Times New Roman" w:hAnsi="Times New Roman" w:eastAsia="Times New Roman" w:cs="Times New Roman"/>
                      <w:color w:val="1155cc"/>
                      <w:u w:val="single"/>
                    </w:rPr>
                    <w:t xml:space="preserve">https://xn--80ajghhoc2aj1c8b.xn--p1ai/lectures/vebinary/?ELEMENT_ID=506441</w:t>
                  </w:r>
                </w:hyperlink>
                <w:r/>
                <w:r>
                  <w:rPr>
                    <w:rFonts w:ascii="Times New Roman" w:hAnsi="Times New Roman" w:eastAsia="Times New Roman" w:cs="Times New Roman"/>
                  </w:rPr>
                </w:r>
              </w:p>
            </w:tc>
          </w:tr>
        </w:tbl>
      </w:sdtContent>
    </w:sdt>
    <w:p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sectPr>
      <w:footnotePr/>
      <w:endnotePr/>
      <w:type w:val="nextPage"/>
      <w:pgSz w:w="11909" w:h="16834" w:orient="portrait"/>
      <w:pgMar w:top="1440" w:right="1440" w:bottom="1440" w:left="1440" w:header="720" w:footer="72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ru" w:eastAsia="ru-RU" w:bidi="ar-SA"/>
      </w:rPr>
    </w:rPrDefault>
    <w:pPrDefault>
      <w:pPr>
        <w:spacing w:before="0" w:beforeAutospacing="0" w:after="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31"/>
    <w:link w:val="62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31"/>
    <w:link w:val="626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31"/>
    <w:link w:val="62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31"/>
    <w:link w:val="62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31"/>
    <w:link w:val="62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31"/>
    <w:link w:val="63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4"/>
    <w:next w:val="624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31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4"/>
    <w:next w:val="624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31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4"/>
    <w:next w:val="624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31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24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character" w:styleId="36">
    <w:name w:val="Title Char"/>
    <w:basedOn w:val="631"/>
    <w:link w:val="635"/>
    <w:uiPriority w:val="10"/>
    <w:rPr>
      <w:sz w:val="48"/>
      <w:szCs w:val="48"/>
    </w:rPr>
  </w:style>
  <w:style w:type="character" w:styleId="38">
    <w:name w:val="Subtitle Char"/>
    <w:basedOn w:val="631"/>
    <w:link w:val="638"/>
    <w:uiPriority w:val="11"/>
    <w:rPr>
      <w:sz w:val="24"/>
      <w:szCs w:val="24"/>
    </w:rPr>
  </w:style>
  <w:style w:type="paragraph" w:styleId="39">
    <w:name w:val="Quote"/>
    <w:basedOn w:val="624"/>
    <w:next w:val="624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4"/>
    <w:next w:val="624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4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31"/>
    <w:link w:val="43"/>
    <w:uiPriority w:val="99"/>
  </w:style>
  <w:style w:type="paragraph" w:styleId="45">
    <w:name w:val="Footer"/>
    <w:basedOn w:val="624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31"/>
    <w:link w:val="45"/>
    <w:uiPriority w:val="99"/>
  </w:style>
  <w:style w:type="paragraph" w:styleId="47">
    <w:name w:val="Caption"/>
    <w:basedOn w:val="624"/>
    <w:next w:val="624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31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24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31"/>
    <w:uiPriority w:val="99"/>
    <w:unhideWhenUsed/>
    <w:rPr>
      <w:vertAlign w:val="superscript"/>
    </w:rPr>
  </w:style>
  <w:style w:type="paragraph" w:styleId="179">
    <w:name w:val="endnote text"/>
    <w:basedOn w:val="624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31"/>
    <w:uiPriority w:val="99"/>
    <w:semiHidden/>
    <w:unhideWhenUsed/>
    <w:rPr>
      <w:vertAlign w:val="superscript"/>
    </w:rPr>
  </w:style>
  <w:style w:type="paragraph" w:styleId="182">
    <w:name w:val="toc 1"/>
    <w:basedOn w:val="624"/>
    <w:next w:val="624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4"/>
    <w:next w:val="624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4"/>
    <w:next w:val="624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4"/>
    <w:next w:val="624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4"/>
    <w:next w:val="624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4"/>
    <w:next w:val="624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4"/>
    <w:next w:val="624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4"/>
    <w:next w:val="624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4"/>
    <w:next w:val="624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4"/>
    <w:next w:val="624"/>
    <w:uiPriority w:val="99"/>
    <w:unhideWhenUsed/>
    <w:pPr>
      <w:spacing w:after="0" w:afterAutospacing="0"/>
    </w:pPr>
  </w:style>
  <w:style w:type="paragraph" w:styleId="624" w:default="1">
    <w:name w:val="Normal"/>
    <w:qFormat/>
  </w:style>
  <w:style w:type="paragraph" w:styleId="625">
    <w:name w:val="Heading 1"/>
    <w:basedOn w:val="624"/>
    <w:next w:val="624"/>
    <w:uiPriority w:val="9"/>
    <w:qFormat/>
    <w:pPr>
      <w:keepLines/>
      <w:keepNext/>
      <w:spacing w:before="400" w:after="120"/>
      <w:outlineLvl w:val="0"/>
    </w:pPr>
    <w:rPr>
      <w:sz w:val="40"/>
      <w:szCs w:val="40"/>
    </w:rPr>
  </w:style>
  <w:style w:type="paragraph" w:styleId="626">
    <w:name w:val="Heading 2"/>
    <w:basedOn w:val="624"/>
    <w:next w:val="624"/>
    <w:uiPriority w:val="9"/>
    <w:semiHidden/>
    <w:unhideWhenUsed/>
    <w:qFormat/>
    <w:pPr>
      <w:keepLines/>
      <w:keepNext/>
      <w:spacing w:before="360" w:after="120"/>
      <w:outlineLvl w:val="1"/>
    </w:pPr>
    <w:rPr>
      <w:sz w:val="32"/>
      <w:szCs w:val="32"/>
    </w:rPr>
  </w:style>
  <w:style w:type="paragraph" w:styleId="627">
    <w:name w:val="Heading 3"/>
    <w:basedOn w:val="624"/>
    <w:next w:val="624"/>
    <w:uiPriority w:val="9"/>
    <w:semiHidden/>
    <w:unhideWhenUsed/>
    <w:qFormat/>
    <w:pPr>
      <w:keepLines/>
      <w:keepNext/>
      <w:spacing w:before="320" w:after="80"/>
      <w:outlineLvl w:val="2"/>
    </w:pPr>
    <w:rPr>
      <w:color w:val="434343"/>
      <w:sz w:val="28"/>
      <w:szCs w:val="28"/>
    </w:rPr>
  </w:style>
  <w:style w:type="paragraph" w:styleId="628">
    <w:name w:val="Heading 4"/>
    <w:basedOn w:val="624"/>
    <w:next w:val="624"/>
    <w:uiPriority w:val="9"/>
    <w:semiHidden/>
    <w:unhideWhenUsed/>
    <w:qFormat/>
    <w:pPr>
      <w:keepLines/>
      <w:keepNext/>
      <w:spacing w:before="280" w:after="80"/>
      <w:outlineLvl w:val="3"/>
    </w:pPr>
    <w:rPr>
      <w:color w:val="666666"/>
      <w:sz w:val="24"/>
      <w:szCs w:val="24"/>
    </w:rPr>
  </w:style>
  <w:style w:type="paragraph" w:styleId="629">
    <w:name w:val="Heading 5"/>
    <w:basedOn w:val="624"/>
    <w:next w:val="624"/>
    <w:uiPriority w:val="9"/>
    <w:semiHidden/>
    <w:unhideWhenUsed/>
    <w:qFormat/>
    <w:pPr>
      <w:keepLines/>
      <w:keepNext/>
      <w:spacing w:before="240" w:after="80"/>
      <w:outlineLvl w:val="4"/>
    </w:pPr>
    <w:rPr>
      <w:color w:val="666666"/>
    </w:rPr>
  </w:style>
  <w:style w:type="paragraph" w:styleId="630">
    <w:name w:val="Heading 6"/>
    <w:basedOn w:val="624"/>
    <w:next w:val="624"/>
    <w:uiPriority w:val="9"/>
    <w:semiHidden/>
    <w:unhideWhenUsed/>
    <w:qFormat/>
    <w:pPr>
      <w:keepLines/>
      <w:keepNext/>
      <w:spacing w:before="240" w:after="80"/>
      <w:outlineLvl w:val="5"/>
    </w:pPr>
    <w:rPr>
      <w:i/>
      <w:iCs/>
      <w:color w:val="666666"/>
    </w:rPr>
  </w:style>
  <w:style w:type="character" w:styleId="631" w:default="1">
    <w:name w:val="Default Paragraph Font"/>
    <w:uiPriority w:val="1"/>
    <w:semiHidden/>
    <w:unhideWhenUsed/>
  </w:style>
  <w:style w:type="table" w:styleId="6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3" w:default="1">
    <w:name w:val="No List"/>
    <w:uiPriority w:val="99"/>
    <w:semiHidden/>
    <w:unhideWhenUsed/>
  </w:style>
  <w:style w:type="table" w:styleId="634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635">
    <w:name w:val="Title"/>
    <w:basedOn w:val="624"/>
    <w:next w:val="624"/>
    <w:uiPriority w:val="10"/>
    <w:qFormat/>
    <w:pPr>
      <w:keepLines/>
      <w:keepNext/>
      <w:spacing w:after="60"/>
    </w:pPr>
    <w:rPr>
      <w:sz w:val="52"/>
      <w:szCs w:val="52"/>
    </w:rPr>
  </w:style>
  <w:style w:type="table" w:styleId="636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table" w:styleId="637" w:customStyle="1">
    <w:name w:val="StGen0"/>
    <w:basedOn w:val="636"/>
    <w:rPr>
      <w:sz w:val="24"/>
      <w:szCs w:val="24"/>
    </w:r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  <w:style w:type="paragraph" w:styleId="638">
    <w:name w:val="Subtitle"/>
    <w:basedOn w:val="624"/>
    <w:next w:val="624"/>
    <w:uiPriority w:val="11"/>
    <w:qFormat/>
    <w:pPr>
      <w:keepLines/>
      <w:keepNext/>
      <w:spacing w:after="320"/>
    </w:pPr>
    <w:rPr>
      <w:color w:val="666666"/>
      <w:sz w:val="30"/>
      <w:szCs w:val="30"/>
    </w:rPr>
  </w:style>
  <w:style w:type="table" w:styleId="639" w:customStyle="1">
    <w:name w:val="StGen1"/>
    <w:basedOn w:val="636"/>
    <w:rPr>
      <w:sz w:val="24"/>
      <w:szCs w:val="24"/>
    </w:rPr>
    <w:tblPr>
      <w:tblStyleRowBandSize w:val="1"/>
      <w:tblStyleColBandSize w:val="1"/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hyperlink" Target="https://xn--80ajghhoc2aj1c8b.xn--p1ai/lectures/vebinary/?ELEMENT_ID=506622" TargetMode="External"/><Relationship Id="rId10" Type="http://schemas.openxmlformats.org/officeDocument/2006/relationships/hyperlink" Target="https://xn--80ajghhoc2aj1c8b.xn--p1ai/lectures/vebinary/?ELEMENT_ID=505314" TargetMode="External"/><Relationship Id="rId11" Type="http://schemas.openxmlformats.org/officeDocument/2006/relationships/hyperlink" Target="https://xn--80ajghhoc2aj1c8b.xn--p1ai/lectures/vebinary/?ELEMENT_ID=506755" TargetMode="External"/><Relationship Id="rId12" Type="http://schemas.openxmlformats.org/officeDocument/2006/relationships/hyperlink" Target="https://xn--80ajghhoc2aj1c8b.xn--p1ai/lectures/vebinary/?ELEMENT_ID=507020" TargetMode="External"/><Relationship Id="rId13" Type="http://schemas.openxmlformats.org/officeDocument/2006/relationships/hyperlink" Target="https://xn--80ajghhoc2aj1c8b.xn--p1ai/lectures/vebinary/?ELEMENT_ID=506455" TargetMode="External"/><Relationship Id="rId14" Type="http://schemas.openxmlformats.org/officeDocument/2006/relationships/hyperlink" Target="https://xn--80ajghhoc2aj1c8b.xn--p1ai/lectures/vebinary/?ELEMENT_ID=506394" TargetMode="External"/><Relationship Id="rId15" Type="http://schemas.openxmlformats.org/officeDocument/2006/relationships/hyperlink" Target="https://xn--80ajghhoc2aj1c8b.xn--p1ai/lectures/vebinary/?ELEMENT_ID=501074" TargetMode="External"/><Relationship Id="rId16" Type="http://schemas.openxmlformats.org/officeDocument/2006/relationships/hyperlink" Target="https://xn--80ajghhoc2aj1c8b.xn--p1ai/lectures/vebinary/?ELEMENT_ID=506123" TargetMode="External"/><Relationship Id="rId17" Type="http://schemas.openxmlformats.org/officeDocument/2006/relationships/hyperlink" Target="https://xn--80ajghhoc2aj1c8b.xn--p1ai/lectures/vebinary/?ELEMENT_ID=506690" TargetMode="External"/><Relationship Id="rId18" Type="http://schemas.openxmlformats.org/officeDocument/2006/relationships/hyperlink" Target="https://xn--80ajghhoc2aj1c8b.xn--p1ai/lectures/vebinary/?ELEMENT_ID=506095" TargetMode="External"/><Relationship Id="rId19" Type="http://schemas.openxmlformats.org/officeDocument/2006/relationships/hyperlink" Target="https://xn--80ajghhoc2aj1c8b.xn--p1ai/lectures/vebinary/?ELEMENT_ID=504993" TargetMode="External"/><Relationship Id="rId20" Type="http://schemas.openxmlformats.org/officeDocument/2006/relationships/hyperlink" Target="https://xn--80ajghhoc2aj1c8b.xn--p1ai/lectures/vebinary/?ELEMENT_ID=506006" TargetMode="External"/><Relationship Id="rId21" Type="http://schemas.openxmlformats.org/officeDocument/2006/relationships/hyperlink" Target="https://xn--80ajghhoc2aj1c8b.xn--p1ai/lectures/vebinary/?ELEMENT_ID=506707" TargetMode="External"/><Relationship Id="rId22" Type="http://schemas.openxmlformats.org/officeDocument/2006/relationships/hyperlink" Target="https://xn--80ajghhoc2aj1c8b.xn--p1ai/lectures/vebinary/?ELEMENT_ID=505789" TargetMode="External"/><Relationship Id="rId23" Type="http://schemas.openxmlformats.org/officeDocument/2006/relationships/hyperlink" Target="https://xn--80ajghhoc2aj1c8b.xn--p1ai/lectures/vebinary/?ELEMENT_ID=506511" TargetMode="External"/><Relationship Id="rId24" Type="http://schemas.openxmlformats.org/officeDocument/2006/relationships/hyperlink" Target="https://xn--80ajghhoc2aj1c8b.xn--p1ai/lectures/vebinary/?ELEMENT_ID=506560" TargetMode="External"/><Relationship Id="rId25" Type="http://schemas.openxmlformats.org/officeDocument/2006/relationships/hyperlink" Target="https://xn--80ajghhoc2aj1c8b.xn--p1ai/lectures/vebinary/?ELEMENT_ID=506506" TargetMode="External"/><Relationship Id="rId26" Type="http://schemas.openxmlformats.org/officeDocument/2006/relationships/hyperlink" Target="https://xn--80ajghhoc2aj1c8b.xn--p1ai/lectures/vebinary/?ELEMENT_ID=506299" TargetMode="External"/><Relationship Id="rId27" Type="http://schemas.openxmlformats.org/officeDocument/2006/relationships/hyperlink" Target="https://xn--80ajghhoc2aj1c8b.xn--p1ai/lectures/vebinary/?ELEMENT_ID=506685" TargetMode="External"/><Relationship Id="rId28" Type="http://schemas.openxmlformats.org/officeDocument/2006/relationships/hyperlink" Target="https://xn--80ajghhoc2aj1c8b.xn--p1ai/lectures/vebinary/?ELEMENT_ID=507031" TargetMode="External"/><Relationship Id="rId29" Type="http://schemas.openxmlformats.org/officeDocument/2006/relationships/hyperlink" Target="https://xn--80ajghhoc2aj1c8b.xn--p1ai/lectures/vebinary/?ELEMENT_ID=506554" TargetMode="External"/><Relationship Id="rId30" Type="http://schemas.openxmlformats.org/officeDocument/2006/relationships/hyperlink" Target="https://xn--80ajghhoc2aj1c8b.xn--p1ai/lectures/vebinary/?ELEMENT_ID=506616" TargetMode="External"/><Relationship Id="rId31" Type="http://schemas.openxmlformats.org/officeDocument/2006/relationships/hyperlink" Target="https://xn--80ajghhoc2aj1c8b.xn--p1ai/lectures/vebinary/?ELEMENT_ID=506190" TargetMode="External"/><Relationship Id="rId32" Type="http://schemas.openxmlformats.org/officeDocument/2006/relationships/hyperlink" Target="https://xn--80ajghhoc2aj1c8b.xn--p1ai/lectures/vebinary/?ELEMENT_ID=506103" TargetMode="External"/><Relationship Id="rId33" Type="http://schemas.openxmlformats.org/officeDocument/2006/relationships/hyperlink" Target="https://xn--80ajghhoc2aj1c8b.xn--p1ai/lectures/vebinary/?ELEMENT_ID=506099" TargetMode="External"/><Relationship Id="rId34" Type="http://schemas.openxmlformats.org/officeDocument/2006/relationships/hyperlink" Target="https://xn--80ajghhoc2aj1c8b.xn--p1ai/lectures/vebinary/?ELEMENT_ID=506415" TargetMode="External"/><Relationship Id="rId35" Type="http://schemas.openxmlformats.org/officeDocument/2006/relationships/hyperlink" Target="https://xn--80ajghhoc2aj1c8b.xn--p1ai/lectures/vebinary/?ELEMENT_ID=506138" TargetMode="External"/><Relationship Id="rId36" Type="http://schemas.openxmlformats.org/officeDocument/2006/relationships/hyperlink" Target="https://xn--80ajghhoc2aj1c8b.xn--p1ai/lectures/vebinary/?ELEMENT_ID=506386" TargetMode="External"/><Relationship Id="rId37" Type="http://schemas.openxmlformats.org/officeDocument/2006/relationships/hyperlink" Target="https://xn--80ajghhoc2aj1c8b.xn--p1ai/lectures/vebinary/?ELEMENT_ID=506288" TargetMode="External"/><Relationship Id="rId38" Type="http://schemas.openxmlformats.org/officeDocument/2006/relationships/hyperlink" Target="https://xn--80ajghhoc2aj1c8b.xn--p1ai/lectures/vebinary/?ELEMENT_ID=506131" TargetMode="External"/><Relationship Id="rId39" Type="http://schemas.openxmlformats.org/officeDocument/2006/relationships/hyperlink" Target="https://xn--80ajghhoc2aj1c8b.xn--p1ai/lectures/vebinary/?ELEMENT_ID=504998" TargetMode="External"/><Relationship Id="rId40" Type="http://schemas.openxmlformats.org/officeDocument/2006/relationships/hyperlink" Target="https://xn--80ajghhoc2aj1c8b.xn--p1ai/lectures/vebinary/?ELEMENT_ID=505056" TargetMode="External"/><Relationship Id="rId41" Type="http://schemas.openxmlformats.org/officeDocument/2006/relationships/hyperlink" Target="https://xn--80ajghhoc2aj1c8b.xn--p1ai/lectures/vebinary/?ELEMENT_ID=506448" TargetMode="External"/><Relationship Id="rId42" Type="http://schemas.openxmlformats.org/officeDocument/2006/relationships/hyperlink" Target="https://xn--80ajghhoc2aj1c8b.xn--p1ai/lectures/vebinary/?ELEMENT_ID=507058" TargetMode="External"/><Relationship Id="rId43" Type="http://schemas.openxmlformats.org/officeDocument/2006/relationships/hyperlink" Target="https://xn--80ajghhoc2aj1c8b.xn--p1ai/lectures/vebinary/?ELEMENT_ID=506292" TargetMode="External"/><Relationship Id="rId44" Type="http://schemas.openxmlformats.org/officeDocument/2006/relationships/hyperlink" Target="https://xn--80ajghhoc2aj1c8b.xn--p1ai/lectures/vebinary/?ELEMENT_ID=506410" TargetMode="External"/><Relationship Id="rId45" Type="http://schemas.openxmlformats.org/officeDocument/2006/relationships/hyperlink" Target="https://xn--80ajghhoc2aj1c8b.xn--p1ai/lectures/vebinary/?ELEMENT_ID=506284" TargetMode="External"/><Relationship Id="rId46" Type="http://schemas.openxmlformats.org/officeDocument/2006/relationships/hyperlink" Target="https://xn--80ajghhoc2aj1c8b.xn--p1ai/lectures/vebinary/?ELEMENT_ID=506650" TargetMode="External"/><Relationship Id="rId47" Type="http://schemas.openxmlformats.org/officeDocument/2006/relationships/hyperlink" Target="https://xn--80ajghhoc2aj1c8b.xn--p1ai/lectures/vebinary/?ELEMENT_ID=506627" TargetMode="External"/><Relationship Id="rId48" Type="http://schemas.openxmlformats.org/officeDocument/2006/relationships/hyperlink" Target="https://xn--80ajghhoc2aj1c8b.xn--p1ai/lectures/vebinary/?ELEMENT_ID=506441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Liberation Sans"/>
        <a:cs typeface="Liberation Sans"/>
      </a:majorFont>
      <a:minorFont>
        <a:latin typeface="Cambria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pjUNi162JuVaucWMZcq39IBrkw==">CgMxLjAaHwoBMBIaChgICVIUChJ0YWJsZS5kMGg0bnlybnd6ZzM4AHIhMTVIQl9yME1rZEdOUkNHTDNsZmVsZElKaGV4ZWU5SUly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Маташев Владимир Алексеевич</cp:lastModifiedBy>
  <cp:revision>3</cp:revision>
  <dcterms:created xsi:type="dcterms:W3CDTF">2026-08-28T12:20:00Z</dcterms:created>
  <dcterms:modified xsi:type="dcterms:W3CDTF">2026-09-07T04:18:01Z</dcterms:modified>
</cp:coreProperties>
</file>