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jc w:val="right"/>
        <w:spacing w:before="0" w:beforeAutospacing="0" w:after="0" w:afterAutospacing="0"/>
      </w:pPr>
      <w:r/>
      <w:bookmarkStart w:id="0" w:name="_Toc399410380"/>
      <w:r>
        <w:rPr>
          <w:rFonts w:ascii="PT Astra Serif" w:hAnsi="PT Astra Serif"/>
          <w:color w:val="000000"/>
          <w:sz w:val="26"/>
          <w:szCs w:val="26"/>
        </w:rPr>
        <w:t xml:space="preserve">Проект</w:t>
      </w:r>
      <w:bookmarkEnd w:id="0"/>
      <w:r/>
      <w:r/>
    </w:p>
    <w:p>
      <w:pPr>
        <w:pStyle w:val="684"/>
        <w:jc w:val="right"/>
        <w:spacing w:before="0" w:beforeAutospacing="0" w:after="0" w:afterAutospacing="0"/>
      </w:pPr>
      <w:r>
        <w:t xml:space="preserve"> </w:t>
      </w:r>
      <w:r/>
    </w:p>
    <w:p>
      <w:pPr>
        <w:pStyle w:val="684"/>
        <w:jc w:val="center"/>
        <w:keepNext/>
        <w:spacing w:before="0" w:beforeAutospacing="0" w:after="0" w:afterAutospacing="0"/>
      </w:pPr>
      <w:r>
        <w:rPr>
          <w:rFonts w:ascii="PT Astra Serif" w:hAnsi="PT Astra Serif"/>
          <w:b/>
          <w:bCs/>
          <w:color w:val="000000"/>
          <w:sz w:val="26"/>
          <w:szCs w:val="26"/>
        </w:rPr>
        <w:t xml:space="preserve">ПРАВИТЕЛЬСТВО РЕСПУБЛИКИ АЛТАЙ</w:t>
      </w:r>
      <w:r/>
    </w:p>
    <w:p>
      <w:pPr>
        <w:pStyle w:val="684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84"/>
        <w:jc w:val="center"/>
        <w:spacing w:before="0" w:beforeAutospacing="0" w:after="0" w:afterAutospacing="0"/>
      </w:pPr>
      <w:r>
        <w:rPr>
          <w:rFonts w:ascii="PT Astra Serif" w:hAnsi="PT Astra Serif"/>
          <w:b/>
          <w:bCs/>
          <w:color w:val="000000"/>
          <w:sz w:val="26"/>
          <w:szCs w:val="26"/>
        </w:rPr>
        <w:t xml:space="preserve">ПОСТАНОВЛЕНИЕ</w:t>
      </w:r>
      <w:r/>
    </w:p>
    <w:p>
      <w:pPr>
        <w:pStyle w:val="684"/>
        <w:ind w:firstLine="709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84"/>
        <w:jc w:val="center"/>
        <w:spacing w:before="0" w:beforeAutospacing="0" w:after="0" w:afterAutospacing="0"/>
      </w:pPr>
      <w:r>
        <w:rPr>
          <w:rFonts w:ascii="PT Astra Serif" w:hAnsi="PT Astra Serif"/>
          <w:color w:val="000000"/>
          <w:sz w:val="26"/>
          <w:szCs w:val="26"/>
        </w:rPr>
        <w:t xml:space="preserve">от _____________ 2025 г. № ____</w:t>
      </w:r>
      <w:r/>
    </w:p>
    <w:p>
      <w:pPr>
        <w:pStyle w:val="684"/>
        <w:jc w:val="center"/>
        <w:spacing w:before="0" w:beforeAutospacing="0" w:after="0" w:afterAutospacing="0"/>
      </w:pPr>
      <w:r>
        <w:t xml:space="preserve"> </w:t>
      </w:r>
      <w:r/>
    </w:p>
    <w:p>
      <w:pPr>
        <w:pStyle w:val="684"/>
        <w:jc w:val="center"/>
        <w:spacing w:before="0" w:beforeAutospacing="0" w:after="0" w:afterAutospacing="0" w:line="480" w:lineRule="atLeast"/>
        <w:tabs>
          <w:tab w:val="left" w:pos="720" w:leader="none"/>
          <w:tab w:val="left" w:pos="1183" w:leader="none"/>
        </w:tabs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г. Горно-Алтайск</w:t>
      </w:r>
      <w:r>
        <w:rPr>
          <w:rFonts w:ascii="PT Astra Serif" w:hAnsi="PT Astra Serif"/>
          <w:color w:val="000000"/>
          <w:sz w:val="26"/>
          <w:szCs w:val="26"/>
        </w:rPr>
      </w:r>
    </w:p>
    <w:p>
      <w:pPr>
        <w:pStyle w:val="684"/>
        <w:jc w:val="center"/>
        <w:spacing w:before="0" w:beforeAutospacing="0" w:after="0" w:afterAutospacing="0" w:line="480" w:lineRule="atLeast"/>
        <w:tabs>
          <w:tab w:val="left" w:pos="720" w:leader="none"/>
          <w:tab w:val="left" w:pos="1183" w:leader="none"/>
        </w:tabs>
      </w:pPr>
      <w:r/>
      <w:r/>
    </w:p>
    <w:p>
      <w:pPr>
        <w:jc w:val="center"/>
        <w:spacing w:after="0" w:line="18" w:lineRule="atLeast"/>
        <w:widowControl w:val="off"/>
        <w:rPr>
          <w:rFonts w:ascii="PT Astra Serif" w:hAnsi="PT Astra Serif" w:eastAsia="Arial" w:cs="Arial"/>
          <w:b/>
          <w:sz w:val="26"/>
          <w:szCs w:val="26"/>
          <w:lang w:eastAsia="ru-RU"/>
        </w:rPr>
      </w:pP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О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б утверждении порядка заключения специальн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ого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 инвестиционн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ого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 контракт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а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 Республикой Алтай 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</w:r>
    </w:p>
    <w:p>
      <w:pPr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В соответствии с Федеральным законом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о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т 31 декабря 2014 г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№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488-ФЗ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br/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«О промышленной политике в Российской Федерации» Правительство Республики Алтай </w:t>
      </w:r>
      <w:r>
        <w:rPr>
          <w:rStyle w:val="685"/>
          <w:rFonts w:ascii="PT Astra Serif" w:hAnsi="PT Astra Serif"/>
          <w:b/>
          <w:bCs/>
          <w:color w:val="000000"/>
          <w:sz w:val="26"/>
          <w:szCs w:val="26"/>
        </w:rPr>
        <w:t xml:space="preserve">п о с </w:t>
      </w:r>
      <w:r>
        <w:rPr>
          <w:rStyle w:val="685"/>
          <w:rFonts w:ascii="PT Astra Serif" w:hAnsi="PT Astra Serif"/>
          <w:b/>
          <w:bCs/>
          <w:color w:val="000000"/>
          <w:sz w:val="26"/>
          <w:szCs w:val="26"/>
        </w:rPr>
        <w:t xml:space="preserve">т</w:t>
      </w:r>
      <w:r>
        <w:rPr>
          <w:rStyle w:val="685"/>
          <w:rFonts w:ascii="PT Astra Serif" w:hAnsi="PT Astra Serif"/>
          <w:b/>
          <w:bCs/>
          <w:color w:val="000000"/>
          <w:sz w:val="26"/>
          <w:szCs w:val="26"/>
        </w:rPr>
        <w:t xml:space="preserve"> а н о в л я е т: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1. Утвердить прилагаемы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й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: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/>
      <w:hyperlink w:tooltip="ПОРЯДОК" w:anchor="P34" w:history="1">
        <w:r>
          <w:rPr>
            <w:rFonts w:ascii="PT Astra Serif" w:hAnsi="PT Astra Serif" w:eastAsia="Arial" w:cs="Times New Roman"/>
            <w:sz w:val="26"/>
            <w:szCs w:val="26"/>
            <w:lang w:eastAsia="ru-RU"/>
          </w:rPr>
          <w:t xml:space="preserve">Порядок</w:t>
        </w:r>
      </w:hyperlink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заключения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с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пециального инвестиционного контракта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Республикой Алтай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согласно приложению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ind w:firstLine="540"/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2.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Министра экономического развития Республики Алтай Боровикова С.С.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jc w:val="both"/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Председатель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Правительства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spacing w:after="0" w:line="18" w:lineRule="atLeast"/>
        <w:widowControl w:val="off"/>
        <w:rPr>
          <w:rFonts w:ascii="PT Astra Serif" w:hAnsi="PT Astra Serif" w:eastAsia="Arial" w:cs="Times New Roman"/>
          <w:sz w:val="26"/>
          <w:szCs w:val="26"/>
          <w:lang w:eastAsia="ru-RU"/>
        </w:rPr>
      </w:pP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Республики Алтай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right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7080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7080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7080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7512" w:firstLine="27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приложение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7512" w:firstLine="27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6096" w:hanging="42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Утвержден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6096" w:hanging="42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Постановлением Правительства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6096" w:hanging="42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left="6096" w:hanging="426"/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 ________г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ода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№ ____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  <w:t xml:space="preserve">ПОРЯДОК</w:t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</w:p>
    <w:p>
      <w:pPr>
        <w:jc w:val="center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  <w:t xml:space="preserve">заключения </w:t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  <w:t xml:space="preserve">специального инвестиционного контракта Республикой Алтай</w:t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b/>
          <w:bCs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1. Настоящий Порядок устанавливает процедуру заключения специального инвестиционного контракта, заключаемого Республикой Алтай без участия Российской Федерации (далее - специальный инвестиционный ко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нтракт)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или новый этап инвес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тиционного проекта по созданию и (или) модернизации и (или) освоению производства промышленной продукции на территории Республики Алтай (далее соответственно - субъект инвестиционной деятельности, инвестиционный проект, новый этап инвестиционного проекта).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Уполномоченным органом по заключению, изменению и расторжению специальных инвестиционных контрактов от имени Республики Алтай и осуществлению контроля за их исполнением является Министерство экономического развития Республики Алтай.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Стороной специального инвестиционного контракта наряду с Республикой Алтай может быть муниципальное образование муниципального района, муниципального округа, городского округа в Республике Алтай (далее - муниципаль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ное образование) в случае осуществления в отношении субъекта инвестиционной деятельности, являющегося стороной специального инвестиционного контракта, мер стимулирования деятельности в сфере промышленности, предусмотренных муниципальными правовыми актами.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2. Для целей настоящего Порядка: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1) под инвестиционным проектом (новым этапом инвестиционного проекта) по созданию производства промышленной продукции понимается инвестиционный проект (новы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й этап инвестиционного проекта)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 созданию на территори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 нового производства, обеспечению подготовки субъектов деятельности в сфере промышленности к выпуску промышленной продукции, внедрению технологических процессов;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2) под инвестиционным проектом (новым этапом инв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естиционного проекта) по модернизации производства промышленной продукции понимается инвестиционный проект (новый этап инвестиционного проекта), направленный на изменение технологического и (или) служебного назначения производства, созданного на территории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Алтай, обеспечивающее подготовку субъектов инвестиционной деятельности в сфере промышленности к увеличению количества и (или) улучшен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ию качественных характеристик ранее производимой промышленной продукции, и (или) инвестиционный проект (новый этап инвестиционного проекта), включающий мероприятия по внедрению наилучших доступных технологий на промышленных предприятиях в Республики Алтай;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3) под существенным увеличением количества ранее производимой промышленной продукции понимается годовой прирост производства ранее производимой промышленной продукции в количественном выражении не менее чем на 10% в год;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4) понятие «освоение производства промышленной продукции» используется в значении, предусмотренном Федеральным законом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о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т 31 декабря 2014 г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№</w:t>
      </w:r>
      <w:r>
        <w:rPr>
          <w:rFonts w:ascii="PT Astra Serif" w:hAnsi="PT Astra Serif" w:eastAsia="Arial" w:cs="Times New Roman"/>
          <w:sz w:val="26"/>
          <w:szCs w:val="26"/>
          <w:lang w:eastAsia="ru-RU"/>
        </w:rPr>
        <w:t xml:space="preserve"> 488-ФЗ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«О промышленной политике в Российской Федерации»;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5) понятие «наилучшие доступные технологии» используется в значении, предусмотренном Федеральным законом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 10 января 2002 г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№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7-ФЗ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«Об охране окружающей среды»;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6) понятие «проектная операционная прибыль» используется в значении, предусмотренном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3. Специальный инвестиционный контракт заключается в рамках реализации инвестиционных проектов, реализуемых в видах экономической деятельности, определенных Федеральным законом</w:t>
      </w:r>
      <w: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 31 декабря 2014 г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№ 488-ФЗ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«О промышленной политике Российской Федерации».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Специальный инвестиционный контракт заключается в отношении: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инвестиционного проекта, к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оторый начал реализовываться не ранее чем за 12 месяцев до даты подачи субъектом инвестиционной деятельности заявления о заключении специального инвестиционного контракта (то есть в указанный период субъектом инвестиционной деятельности были осуществлены 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ероприятия инвестиционного проекта, и (или) вложены инвестиции, и (или) достигнуты показатели, и (или) выполнены обязанности субъекта инвестиционной деятельности) либо который будет реализовываться в период действия специального инвестиционного контракта;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нового этапа инвестицио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нного проекта, реализуемого субъектом инвестиционной деятельности до даты заключения специального инвестиционного контракта, в случае составления в отношении нового этапа инвестиционного проекта бизнес-плана, при одновременном выполнении следующих условий: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реализация нового этапа инвестиционного проекта началась не ранее начала календарн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ого года, в котором субъект инвестиционной деятельности подал заявление о заключении специального инвестиционного контракта, либо реализация нового этапа инвестиционного проекта будет осуществляться в период действия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общий объем инвестиций, осуществляемых на новом этапе инвестиционного проекта, составляет не менее объема инвестиций, установленного подпунктом «д» пункта 4 настоящего Порядка.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4. Специальный инвестиционный контракт заключается с субъектом инвестиционной деятельности, который отвечает следующим требованиям: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сведения о субъекте инвестиционной деятельности внесены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субъект инвестиционной деятельности не находится под контролем юридических лиц, созданных в соответствии с законодательством иностранных государств и местом регистрации, которых является государство или территория,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субъект инвестиционной деятельности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г) субъект инвестиционной деятельности не имеет признаков банкротства, установлен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ных законодательством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д) субъект инвестиционной деятельности обязуется инвестировать в реализацию инвестиционного проекта (нового этапа инвестиционного проекта) не менее 750 миллионов рублей (без учета налога на добавленную стоимость) (в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объем инвестиций, указанный в настоящем подпункте, включаются в том числе инвестиции, вложенные субъектом инвестиционной деятельности в проект не ранее 12 месяцев, предшествующих дате подачи заявления о заключении специального инвестиционного контракта);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е) субъект инвестиционной деятельности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ж) субъект инвестиционно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й деятельности обязуется вести раздельный учет доходов (расходов), полученных (произведенных) в связи с реализацией специального инвестиционного контракта, и доходов (расходов), полученных (произведенных) при осуществлении иной хозяйственной деятельности;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з) к субъекту инвестиционной деятельности отсутствуют права требований, направленные на отчуждение либо обременение более 25 процентов балансовой стоимости имущества субъекта инвестиционной деятельности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 (или) привлеченных им лиц, используемого для реализации инвестиционного проекта в соответствии со специальным инвестиционным контрактом, на последнюю отчетную дату, предшествующую дате подачи заявления о заключении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и) субъект инвестиционной 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деятельности зарегистрирован и осуществляет деятельность на территории Республики Алтай по видам экономической деятельности, соответствующий 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разделу "Обрабатывающие производства" ОКВЭД, за исключением видов деятельности, не относящихся к сфере ведения Министерства промышленности и торговли Российской Федерации в соответствии с приказом Министерства промышленности и торговли Российской Федерации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 от 28 сентября 2022 г. № 4085 «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Об определении совокупности видов экономической деятельности, относящихся к разде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лу «Обрабатывающие производства»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 Общероссийского классификатора видов экономической деятельности и к сфере ведения Министерства промышленности и торговли Российской Федерации</w:t>
      </w:r>
      <w:r>
        <w:rPr>
          <w:rFonts w:ascii="PT Astra Serif" w:hAnsi="PT Astra Serif" w:cs="Segoe UI"/>
          <w:sz w:val="26"/>
          <w:szCs w:val="26"/>
          <w:shd w:val="clear" w:color="auto" w:fill="ffffff"/>
        </w:rPr>
        <w:t xml:space="preserve">»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5. Специальный инвестиционный контракт заключается на срок, не превышающий 10 лет, с учетом срока выхода инвестиционного проекта (нового этапа инвестиционного проекта) на проектную операционную прибыль в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соответствии с финансовой моделью инвестиционного проекта (нового этапа инвестиционного проекта), увеличенного на 5 лет.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Срок выхода инвестиционного проекта (нового этапа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инвестиционного проекта) на проектную операционную прибыль устанавливается со дня заключения специального инвестиционного контракта до конца календарного года, по результатам которого проектная операционная прибыль впервые принимает положительное значение.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Специальный инвестиционный контракт составляется на русском языке. Финансовые показатели, содержащиеся в специальном инвестиционном контракте, указываются в российских рублях.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6. В качестве дня начала действия специального инвестиционного контракта устанавливается день подписания специального инвестиционного контракта всеми сторонами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качестве дня окончания действия специального инвестиционного контракта указывается наиболее ранняя из следующих дат: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31 декабря года, определенного путем увеличения срока выхода инвестиционного проекта (нового этапа инвестиционного проекта) на проектную операционную прибыль на 5 лет;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31 декабря 10-го года, начиная с года, в котором установлен день начала действия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7. Специальный инвестиционный контракт считается заключенным и вступает в силу со дня его подписания всеми сторонами.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если специальный инвестиционный контракт заключен до 30 июня, первым годом, по итогам которого субъект инвестиционной деятельности обязан обеспечить достижение целевых результатов (показателей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) реализации инвестиционного проекта (нового этапа инвестиционного проекта) и представить отчет об их достижении, считается календарный год заключения специального инвестиционного контракта, если иное не предусмотрено специальным инвестиционным контрактом.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если специальный инвестиционный контракт заключен после 30 июня, первым годом, по итогам которого субъект инвестиционной деятельности обязан обеспечить достижение целевых результатов (показателей) реализации инвестици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онного проекта (нового этапа инвестиционного проекта) и представить отчет об их достижении, считается календарный год, следующий после года заключения специального инвестиционного контракта, если иное не предусмотрено специальным инвестиционным контрактом.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8. Для заключения специального инвестиционного контракта субъект инвестиционной деятельности представляет в Уполномоченный орган следующие документы: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1) заявление о заключении специального инвестиционного контракта по утвержденной форме с приложением: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сведений о результатах (показателях), которые планируется достигнуть в ходе реализации инвестиц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ионного проекта (нового этапа инвестиционного проекта) (ежегодные показатели и итоговые показатели на дату окончания срока действия специального инвестиционного контракта, а также справочные данные о ежегодных показателях нарастающим итогом), в том числе: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об объеме (в денежном выражении) произведенной и реализованной промышленной продукции;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планируемом объеме налогов, сборов, страховых взносов, которые будут уплачены субъектом инвестиционной деятельнос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ти при реализации инвестиционного проекта в случае заключения специального инвестиционного контракта и применения мер стимулирования, предусмотренных специальным инвестиционным контрактом, а также о справочных данных об объеме налогов, сборов, страховых вз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носов, которые будут уплачены субъектом инвестиционной деятельности при реализации инвестиционного проекта в случае заключения специального инвестиционного контракта и неприменения мер стимулирования, предусмотренных специальным инвестиционным контрактом;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количестве рабочих мест, планируемых к созданию в ходе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перечня мер стимулирования деятельности субъекта инвестиционной деятельности в сфере промышленности, установленных нормативными актами Республики Алтай и (или) му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ниципальными правовыми актами, которые заявитель предлагает включить в специальный инвестиционный контракт, с указанием реквизитов (дата, номер, наименование) соответствующих нормативных правовых актов и (или) муниципальных правовых актов (при их наличии);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перечня обязательств субъекта инвестиционной деятельности в рамках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г) сведений о характеристиках промышленной продукции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создание либо модернизация и (или) освоение производства которой предполагается в ходе исполнения специального инвестиционного контракта (с указанием подкатегории продукции по Общероссийскому классификатору продукции по видам экономической деятельности);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д) плана-графика с указанием ключевых событий реализации инвестиционного проекта (нового этапа инвестиционного проекта) (по годам);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е) графика привлечения средств для финансирования инвестиционного проекта (нового этапа инвестиционного проекта) (по годам) с указанием источников средств (структуры финансирования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ж) графика инвестирования (расходования) средств (по годам), содержащего в том числе расходы по направлениям прогноза инвестирования (расходования) средств, указанного в настоящем пункте;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з) справки, подписанные руководителем субъекта инвестиционной деятельности: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обо всех мерах стимулирования деятельности, реализуемых в отношении субъекта инвестиционной деятельности на момент подачи Заявления;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структуре (схеме) участник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ов инвестиционного проекта (нового этапа инвестиционного проекта), в том числе лиц, заинтересованных в его реализации, не являющихся субъектом инвестиционной деятельности (в состав участников инвестиционного проекта (нового этапа инвестиционного проекта) 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огут включаться в том числе заинтересованные лица, то есть лица, которые имеют право на получение более 20 процентов чистой прибыли субъекта инвестиционной деятельности и (или) которые предоставляют более 20 процентов общего объема средств для финансирован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ия инвестиционного проекта (нового этапа инвестиционного проекта) (кроме финансовых организаций, институтов развития), а также основные поставщики материалов и комплектующих, необходимых для производства промышленной продукции, или покупатели промышленной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продукции, 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ланируемой к выпуску в результате реализации инвестиционного проекта (нового этапа инвестиционного проекта) (в случае если соответствующие поставщики и (или) покупатели известны на дату подачи заявления о заключении специального инвестиционного контракта);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соответствии субъекта инвестиционной деятельности требованиям подпунктов «б» – «д» пункта 4 настоящего Порядка, сформированные не ранее чем за 30 дней до дня подачи Заявления;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и) перечня объектов недвижимого имущества, создаваемого и (или) приобретаемого в рамках специального инвестиционного контракта, и стоимость их создания (приобретения) с разбивкой по годам.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Заявление представляется на бумажном носителе и в электронном виде в формате PDF;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2) заверенные в установленном порядке субъектом инвестиционной деятельности копии документов, подтверждающих наличие средств на реализацию инвестиционного проекта (нового этапа инвестиционного проекта),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например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кредитный договор о финансировании инвестиционного проекта (нового этапа инвестиционного проекта) или предварительный кредитный договор;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выписки из решения кредитного комитета кредитной организации;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договор займа;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г) корпоративный договор;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д) инвестиционное соглашение (соглашения) или предварительный договор (договоры) о реализации инвестиционного проекта, определяющее(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) порядок участия третьих лиц в финансировании инвестиционного проекта (нового этапа инвестиционного проекта) (при финансировании проекта за счет средств нескольких субъектов инвестиционной деятельности);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е) решение общего собрания участников либо совета директоров (наблюдательного совета) субъекта инвестиционной деятельно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сти о направлении средств на реализацию инвестиционного проекта (нового этапа инвестиционного проекта), выписки из расчетного счета, полученные не позднее чем за 15 дней до даты подачи заявления о заключении специального инвестиционного контракта, и (или)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данные бухгалтерской отчетности на последнюю отчетную дату, предшествующую дате подачи Заявления, и пояснительную записку к документам, содержащую информацию об источниках финансирования за счет собственных средств (при инвестировании собственных средств);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ж) иные документы, позволяющие подтвердить размер привлекаемых инвестиций;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3) заверенные копии (прошитые и пронумерованные) утвержденного бизнес-плана и финансовой модели инвестиционного проекта (нового этапа инвестиционного проекта), соответствующих следующим требованиям: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бизнес-план инвестиционного проекта (нового этапа инвестиционного проекта) представляется на бумажном носителе и в электронном виде в формате RTF и содержит следующие сведения: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полное наименование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описание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цели и задачи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описание мероприятий, направленных на реализацию инвестиционного проекта (нового этапа инвестиционного проекта) (включая производственный план, организационный план, план маркетинга);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план-график инвестиционных затрат, включая затраты по направлениям, указанным в финансовой модели инвестиционного проекта (нового этапа инвестиционного проекта), при этом: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минимальная доля приобретаемого в ходе реализации инвестиционного проекта (нового этапа инв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естиционного проекта) оборудования должна составлять не менее 25 процентов стоимости модернизируемого и (или) расконсервируемого оборудования, в случае если инвестиционный проект (новый этап инвестиционного проекта) направлен на модернизацию оборудования);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наименование промышленной продукции, создание либо модернизация и (или) освоение производства которой предполагается в результате реализации инвестиционного проекта (нового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этапа инвестиционного проекта), и ее характеристики с указанием объемов (в денежном и натуральном выражении) произведенной и реализованной продукции (ежегодно на конец календарного года и к окончанию срока действия специального инвестиционного контракта);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сведения о результатах интеллектуальной деятельности, правах на техническую документацию, используемую в целях реализации инвестиционного проекта (нового этапа инвестиционного проекта), или об их отсутствии;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срок выхода инвестиционного проекта (нового этапа инвестиционного проекта) на операционную прибыль, планируемый размер ежегодной проектной операционной прибыли в течение его реализации;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оценка потенциального спроса (объема рынка) на промышленную продукцию, осваиваемую в ходе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перечень объектов недвижимого имущества, создаваемых в рамках инвестиционного проекта (при необходимости осуществления мероприятий в отношении указанных объектов), и стоимость строительства;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срок реализации инвестиционного проекта (но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вого этапа инвестиционного проекта) с выделением фазы строительства, включая квартал и год ввода в эксплуатацию производственных мощностей (при наличии такой фазы), и фазы эксплуатации (период производства продукции и поступления выручки от ее реализации);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общая планируемая стоимость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плани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руемый объем финансирования с выделением размера собственных средств (собственный капитал), размера требуемых заемных средств (заемное финансирование), средств партнеров по инвестиционному проекту (новому этапу инвестиционного проекта) и бюджетных средств;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планируемые основные показатели инвестиционного проекта (нового этапа инвестиционного проекта), включая его чистую приведенную стоимость, ставку дисконтирования и обоснование выбора указанно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й ставки, внутреннюю норму доходности, дисконтированный срок окупаемости, дисконтированные налоговые поступления в бюджеты бюджетной системы Российской Федерации (с разбивкой по годам), количество создаваемых рабочих мест за каждый год прогнозного периода;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план-график реализации инвестиционного проекта (нового этапа инвестиционного проекта) с разбивкой по годам, с указанием ключевых событий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мероприятия, направленные на охрану окружающей среды в рамках реализации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анализ рисков реализации инвестиционного проекта (нового этапа инвестиционного проекта), способных негативно повлиять на реализацию инвестиционного проекта;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динамика целевых результатов (показателей) инвестиционного проекта;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финансовая модель инвестиционного проекта (нового этапа инвестиционного про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екта) разрабатывается в двух сценариях с учетом и без учета мер стимулирования, предлагаемых к включению в специальный инвестиционный контракт, представляется на бумажном носителе и в электронном виде в формате .XLS или .XLSX и содержит следующие сведения: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исходные данные (допущения), на основе которых построены прогнозные данные, в том числе: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основные методические положения, использов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анные при построении финансовых прогнозов, в том числе срок реализации инвестиционного проекта (нового этапа инвестиционного проекта), длительность прогнозного периода, валюта исходных и итоговых денежных потоков, ставка дисконтирования и метод ее расчета;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макроэкономические данные (прогнозы инфляции, обменных курсов, фиксированных базовых процентных ставок, прочие макроэкономические данные);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промежуточные прогнозные расчеты, в том числе: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физического объема продаж и объема производства промышленной продукции, цен на готовую промышленную продукцию, цен на основное сырье и материалы, прогноз других затрат, составляющих значительную долю в себестоимости промышленной продукции;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затрат, связанных с персоналом (с учетом планируемых индексаций заработной платы и увеличения штата работников);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привлечения средств финансирования для реализации инвестиционного проекта (нового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этапа инвестиционного проекта) с указанием источников финансирования (структуры финансирования), условий привлечения заемного финансирования (в том числе процентных ставок, периодов и объемов выборки средств, погашения основного долга и процентных выплат);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объемов использования бюджетных средств (в случае их использования в инвестиционном проекте (новом этапе инвестиционного проекта) с детализацией по уровням бюд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жетов бюджетной системы Российской Федерации, основаниям их предоставления (нормативным правовым актам, устанавливающим соответствующие меры государственной поддержки), а также с указанием применяемых методик (формул) для расчета объемов бюджетных средств;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инвестирования (расходования) средств по следующим направлениям: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приобретение или до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лгосрочная аренда земельных участков для реализации инвестиционного проекта (нового этапа инвестиционного проекта) (за исключением случаев, когда земельный участок находится в собственности субъекта инвестиционной деятельности) (далее – земельный участок);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проведение изыскательских работ, разработка проектной документации (в случае проведения указанных работ);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строительство и (или) реконструкция (капитальный р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емонт) производственных зданий и сооружений (в случае проведения указанных работ); приобретение, сооружение, изготовление, доставка, расконсервация и модернизация основных средств, в том числе расходы на уплату ввозных таможенных пошлин, таможенных сборов;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строительно-монтажные и пусконаладочные работы;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выполнение научно-исследовательских, опытно-конструкторских и технологических работ, проведение клинических испытаний (в случае проведения указанных работ);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приобретение исключительных прав на результаты интеллектуальной деятельности или прав на использование результатов интеллектуальной деятельности, прав на конструкторскую, техническую документацию (в случае приобретения);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объе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мов планируемых к уплате налогов, сборов, страховых взносов, с учетом и без учета применения мер стимулирования, предусмотренных специальным инвестиционным контрактом (с детализацией по каждому виду платежей, с указанием базы расчета и применяемых ставок);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прогнозная финансовая отчетность, представленная в следующих формах с обеспечением их взаимосвязи: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прогнозный баланс;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финансовых результатов, составленный по методу начисления и содержащий в том числе такие финансовые показатели, как выручка от реализации и себестоимость произведенной в рамках специального инвестиционного контракта 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ромышленной продукции, валовая прибыль (убыток), коммерческие и управленческие расходы, прибыль (убыток) от продаж, доходы от участия в других организациях, прочие доходы и расходы, проценты к получению и уплате (финансовые доходы и расходы), прибыль (убыт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ок) до налогообложения, чистая прибыль, прибыль до учета процентов, уплаты налогов и амортизационных отчислений (EBITDA), проектная операционная прибыль (с приведением всех финансовых показателей, использованных для расчета проектной операционной прибыли);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прогноз движения денежных средств (денежные потоки от операционной, инвестиционной и финансовой деятельности);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финансовые показатели инвестиционного проекта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(нового этапа инвестиционного проекта) (коэффициенты), в том числе такие показатели, как чистая приведенная стоимость (NPV), внутренняя норма доходности (IRR), простой и дисконтированный период окупаемости инвестиционного проекта (PBP, DPBP), рентабельност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ь активов (ROA), рентабельность продаж (ROS), рентабельность собственного капитала (ROE) и рентабельность инвестированного капитала (ROIC) (с приведением всех исходных показателей, использованных для расчета финансовых показателей инвестиционного проекта).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заключения специального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проекта. Данные, содержащиеся в инвестиционном проекте, 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данные в отношении нового этапа инвестиционного проекта взаимоувязываются посредством формул.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Бизнес-план и финансовая модель должны быть разработаны не менее чем на период, который превышает срок выхода на проектную операционную прибыль инвестиционного проекта (нового этапа инвестиционного проекта) на пять лет;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4) сведения в произвольной форме о земельном участке (участках), план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ируемом к приобретению или к получению в долгосрочную аренду или находящемся в собственности субъекта инвестиционной деятельности, на котором планируется реализация инвестиционного проекта (нового этапа инвестиционного проекта) (далее – земельный участок);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5) документ, подтверждающий полномочия лиц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 на осуществление действий от имени субъекта инвестиционной деятельности в соответствии с законодательством; в случае передачи прав иному лицу - дополнительно доверенность на право подачи и подписи документов от имени субъекта инвестиционной деятельности.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ля заключения специального инвестиционного контракта субъект инвестиционной деятельности вправе предоставить справку налогового органа по месту его регистрации, подтверждающую исполнение субъектом инвестиционной деятельности обязанности по уплате налогов,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сборов, страховых взносов, пеней, штрафов, процентов (сформированную на дату не ранее чем за 30 дней до дня подачи Заявления, если представляется субъектом инвестиционной деятельности самостоятельно) и справку отделения Фонда пенсионного и социального стра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хования Российской Федерации по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Республике Алтай или его территориальных органов о состоянии расчетов по страховым взносам, пеням и штрафам, и возмещению страхователем излишне понесенных расходов на выплату страхового обеспечения или обеспечения по страхо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ванию (сформированную на дату не ранее чем за 30 дней до дня подачи Заявления, если представляется субъектом инвестиционной деятельности самостоятельно). Указанные документы запрашиваются Уполномоченным органом в порядке межведомственного информационного 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заимодействия в течение 2 рабочих дней со дня поступления Заявления у государственных органов и организаций, в распоряжении которых они находятся, в случае если указанные документы не были представлены субъектом инвестиционной деятельности самостоятельно.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Выписка из Единого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государственного реестра юридических лиц в течение 2 рабочих дней со дня поступления Заявления самостоятельно выгружается Уполномоченным органом с официального сайта Федеральной налоговой службы России в информационно-телекоммуникационной сети «Интернет»;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6) в случае включения субъектом инвестиционной деятельности в заявление о заключении специального инвестиционного контракта и (или)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прилагаемые к заявлению документы, указанные в пункте 8 настоящего Порядка, информации о стоимости материалов, основных средств и иных объектов инвестирования, готовой продукции такая информация предоставляется без учета налога на добавленную стоимость.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9. Для заключения специального инвестиционного контракта, в ходе которого реализуется инвестиционный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проект, включающий мероприятия по внедрению наилучших доступных технологий, одновременно с документами, указанными в подпункте 1 и абзаце первом подпункта 3 пункта 8 настоящего Порядка, субъект инвестиционной деятельности представляет следующие документы: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пл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ан мероприятий по охране окружающей среды, согласованный с уполномоченным республиканским исполнительным орган в области охраны окружающей среды в соответствии с Федеральным законом «Об охране окружающей среды» (для объектов II и III категорий опасности);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программу повышения экологической эффективности, одобренную межведомственной комиссией, создаваемой в соответствии с Федеральным законом «Об охране окружающей среды» (для объектов I категории опасности);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перечень планируемых к внедрению наилучших доступных технологий;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10. Датой поступления документов, указанных в пу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нктах 8 и 9 настоящего Порядка, считается дата регистрации документов Уполномоченным органом. Указанные документы регистрируются в день их поступления в Уполномоченный орган в соответствии с порядком делопроизводства, установленным в Уполномоченном органе.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в течение 7 рабочих дней со дня, следующего за днем регистрации документов, указанных в пункт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ах 8 и 9 настоящего Порядка, проводит предварительную оценку на соответствие (несоответствие) документов требованиям комплектности, содержания и формам представления и готовит заключение о соответствии (несоответствии) документов установленным требованиям.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Заключение о несоответствии документов требованиям комплектности, содержания и (или) формам их представления является основанием для принятия Уполномоченным органом решения об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отказе в их дальнейшем рассмотрении и направления субъекту инвестиционной деятельности письменного уведомления о принятом в отношении него решении в течение 5 рабочих дней со дня подготовки заключения о несоответствии документов установленным требованиям.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Субъект инвестиционной деятельности, в отношении которого принято решение об отказе в дальнейшем рассмотрении документов, при устранении недостатков вправе обратиться повторно в порядке, установленном пунктами 8 - 9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11. В случае соответствия документов требованиям комплектности, содержания и формам их представления Уполномоченный орган в течение 3 рабочих дней со дня подготовки заключения о соответствии документов установленным требованиям направляет: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1) заверенные копии документов (прошитые и пронумерованные), указанных в подпунктах 1, 3 пункта 8 настоящего Порядка, - в орган исполнительной власти Республики Алтай, на который возложены координация и регулирование деятельности в со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ответствующей отрасли (сфере управления), (далее - отраслевой орган) для представления заключения о целесообразности реализации инвестиционного проекта на территории Республики Алтай (далее - Отраслевое заключение), включающего в себя следующую информацию: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анализ технико-экономических показателей бизнес-плана (технико-экономического обоснования): оценка видов промышленной продукции и применяемых технологий, технологической новизны инвестиционного проекта (нового этапа инвестиционного проекта), оцен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ка потенциальных рынков сбыта, на которых планируется реализовать выпускаемую промышленную продукцию, оценка возможности реализации инвестиционного проекта (нового этапа инвестиционного проекта) по заданным в бизнес-плане технико-экономическим показателям;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значимость реализации инвестиционного проекта (нового этапа инвестиционного проекта) для развития соответствующей отрасли и Республики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Алтай в целом, а также информацию о вкладе результатов осуществления инвестиционного проекта (нового этапа инвести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ционного проекта) в достижение целевых показателей (индикаторов) государственных программ Республики Алтай, которые реализует отраслевой орган, иных документов стратегического планирования и планов мероприятий по импортозамещению в отраслях промышленности;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2) заверенные копии документов (прошитые и пронумерованные), указанных в подпункте 1 пункта 8 настоящего Порядка, - в Министерство Финансов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 для подготовки заключения о возможности предоставления мер стимулирования, необходимых для реализации инвестиционного проекта (нов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ого этапа инвестиционного проекта) в рамках специального инвестиционного контракта, которые субъект инвестиционной деятельности предлагает включить в специальный инвестиционный контракт, с учетом соотношения объема инвестиций, запланированных в соответстви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 со специальным инвестиционным контрактом, и совокупного объема расходов и недополученных доходов консолидированного бюджета Республики Алтай, образующихся в связи с осуществлением мер стимулирования, предусмотренных специальным инвестиционным контрактом;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3) заверенные копии документов (прошитые и пронумерованные), указанных в подпунктах 1, 3, 4 пункта 8 настоящего Порядка, - в органы местного самоуправления муниципальных образова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ний в Республики Алтай, на территории которых планируется реализация инвестиционного проекта (нового этапа инвестиционного проекта), для представления заключений (далее – Заключения органов местного самоуправления), включающих в себя следующую информацию: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о возможности и целесообразности реализации инвестиционного проекта (нового этапа инвестиционного проекта) на территории муниципального образования по заданным в бизнес-плане технико-экономическим показателям;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о возможности предоставления мер стимулирования, необходимых для реализации инвестиционного проек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та (нового этапа инвестиционного проекта) в рамках специального инвестиционного контракта, из числа мер, предусмотренных муниципальными правовыми актами, которые субъект инвестиционной деятельности предлагает включить в специальный инвестиционный контракт;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о возможн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ости реализации инвестиционного проекта (нового этапа инвестиционного проекта) на земельном участке с учетом вида разрешенного использования земельного участка, категории земель и утвержденных муниципальным образованием правил землепользования и застройки;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4) в случае представления субъектом инвестиционной деятельности Заявления, предусматривающего реализацию инвестиционного проекта (нового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этапа инвестиционного проекта), включающего мероприятия по внедрению наилучших доступных технологий по охране окружающей среды и экологической безопасности, копии документов, указанных в подпунктах 1 и 3 пункта 8 и в пункте 9 настоящего Порядка, направляю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тся в Министерство природных ресурсов и экологии Республики Алтай для подготовки заключения о возможности реализации заявленных мероприятий по внедрению наилучших доступных технологий в рамках инвестиционного проекта (нового этапа инвестиционного проекта).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Срок подготовки заключений, указанных в подпунктах 1 - 4 настоящего пункта и направления их в Уполномоченный орган не должен превышать 10 рабочих дней со дня получения документов от Уполномоченного органа.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если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является отраслевым органом, Отраслевое заключение готовится соответствующим структурным подразделением Уполномоченного органа, на который возложены координация и регулирование деятельности в соответствующей отрасли (сфере управления).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12. Уполномоченный орган с учетом заключений, указанных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в пункте 11 настоящего Порядка, в течение 10 рабочих дней со дня их получения готовит предварительное заключение о целесообразности реализации инвестиционного проекта (нового этапа инвестиционного проекта) на территории Республики Алтай и о соответствии 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нвестиционного проекта (нового этапа инвестиционного проекта) условиям и требованиям для заключения специального инвестиционного контракта, установленным настоящим Порядком, (далее - Предварительное заключение) по форме, утвержденной Уполномоченным органом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, а также составляет проект специального инвестиционного контракта с учетом типовой формы специального инвестиционного контракта для отдельных отраслей промышленности, утвержденной постановлением Правительства Российской Федерации от 16 июля 2015 г. № 708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«О специальных инвестиционных контрактах для отдельных отраслей промышленности», а также особенностей инвестиционного проекта (нового этапа инвестиционного проекта), в рамках которого заключается специальный инвестиционной контракт.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Предварительное заключение подписывается руководителем (заместителем руководителя) Уполномоченного органа в срок, установленный абзацем первым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13. Уполномоченный орган в течение 5 рабочих дней со дня подписани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я Предварительного заключения формирует и направляет в Межведомственную комиссию по отбору инвестиционных проектов при Министерстве природных ресурсов и экологии Республики Алтай (далее – Комиссия) пакет документов, включающий документы, представленные суб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ъектом инвестиционной деятельности, Предварительное заключение, проект специального инвестиционного контракта, Отраслевое заключение, заключение Министерства финансов Республики Алтай, заключение Министерстве природных ресурсов и экологии Республики Алтай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(в случае необходимости его представления) и Заключение органов местного самоуправления, предусмотренные пунктом 11 настоящего Порядка (далее - пакет документов).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Персональный состав Комиссии, положение о Комиссии, в том числе порядок ее работы, утверждаются приказом Уполномоченного органа.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Комиссия в течение 10 рабочих дней со дня поступления пакета документов осуществляет оценку соответствия инвестиционного проекта (нового этапа инвестиционного проекта) целям и требованиям для заключения специаль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ного инвестиционного контракта, установленным настоящим Порядком, и принимает решение о возможности (невозможности) заключения специального инвестиционного контракта на предложенных субъектом инвестиционной деятельности условиях (далее - решение Комиссии).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оформляется на бумажном носителе в форме протокола и подписывается всеми членами Комиссии в пределах срока, установленного в абзаце третьем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должно содержать: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наименование субъекта инвестиционной деятельности;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наименование инвестиционного проекта (нового этапа инвестиционного проекта) по созданию или модернизации и (или) освоению нового промышленного производства;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перечень мер стимулирования деятельности в сфере промышленности, планируемых к осуществлению в отношении субъекта инвестиционной деятельности на срок действия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г) перечень обязательств субъекта инвестиционной деятельности в связи с реализацией инвестиционного проекта (нового этапа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д) объем инвестиций в инвестиционный проект (новый этап инвестиционного проекта);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е) срок действия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ж) результаты, которые планируется достичь в ходе реализации инвестиционного проекта (нового этапа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инвестиционного проекта), в том числе количество создаваемых в ходе реализации инвестиционного проекта (нового этапа инвестиционного проекта) рабочих мест, срок выхода инвестиционного проекта (нового этапа инвестиционного проекта) на операционную прибыль;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з) 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и) вывод о возможности (невозможности) заключения специального инвестиционного контракта на предложенных субъектом инвестиционной деятельности условиях;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к) вывод о согласовании проекта специального инвестиционного контракта, планируемого к подписанию с субъектом инвестиционной деятельности (при принятии решения о возможности заключения специального инвестиционного контракта).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Меры стимулирования деятельности в сфере промышленности в виде налоговых льгот, предоставляемые в соответствии с законодательством о налогах и сборах, включаются Комиссией в перечень, указанный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в подпункте «г» настоящего пункта, в случае если инвестиционный проект (новый этап инвестиционного проекта) соответствует требованиям, установленным законодательством Республики Алтай о налогах и сборах, в целях применения соответствующих налоговых льгот.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14. При подготовке решения, указанного в пункте 13 настоящего 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орядка, Комиссия не вправе вносить изменения в перечень обязательств субъекта инвестиционной деятельности и в предложенные субъектом инвестиционной деятельности характеристики бизнес-плана инвестиционного проекта, указанные в подпункте 3 пункта 8 настоящег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 Порядка, за исключением случаев, если уполномоченный представитель субъекта инвестиционной деятельности на заседании Комиссии, либо в письменном виде в случае отсутствия на заседании Комиссии, выразил свое согласие на внесение соответствующих изменений.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15. Комиссия принимает решение о невозможности заключения специального инвестиционного контракта в следующих случаях: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а) инвестиционный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проект (новый этап инвестиционного проекта) и (или) субъект инвестиционной деятельности не соответствуют целям и требованиям к инвестиционным проектам и субъектам инвестиционной деятельности соответственно, установленным пунктами 1 – 4 настоящего Порядка;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ни одна из указанных в заявлении мер 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мулирования, предложенных в отношении субъекта инвестиционной деятельности, не соответствует законодательству Республики Алтай, муниципальным правовым актам (в случае если стороной специального инвестиционного контракта является муниципальное образование);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объем инвестиций за весь срок действия специального инвестиционного контракта, предусмотренный графиком инвестирования (расходования)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средств (по годам), указанным в подпункте «ж» подпункта 1 пункта 8 настоящего Порядка, меньше совокупного объема расходов и недополученных доходов республиканского бюджета Республики Алтай, образующихся в связи с осуществлением мер стимулирования, предусмо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тренных специальным инвестиционным контрактом, меньше совокупного объема расходов и недополученных доходов бюджетной системы Республики Алтай, образующихся в связи с осуществлением мер стимулирования, предусмотренных специальным инвестиционным контрактом.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16. Уполномоченный орган на основании протокола Комиссии (далее - Протокол) в течение 3 рабочих дней со дня оформления Протокола готовит и направляет письменное уведомление субъекту инвестиционной деятельности о принятом в отношении него решении.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если Комиссией принято решение о невозможности заключения специального инвестиционного контракта на предложенных субъектом инвестиционной деятельности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условиях, Уполномоченный орган в течение 3 рабочих дней со дня его принятия возвращает субъекту инвестиционной деятельности представленные оригиналы документов с приложением соответствующей выписки из Протокола.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17. Проект специального инвестиционного контракта подлежит направлению субъекту инвестиционной деятельности в течение 5 рабочих дней со дня заседания Комиссии.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18. Субъект инвестиционной деятельности в течение 5 рабочих дней со дня получения проекта специального инвестиционного контракта направляет в Уполномоченный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орган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подписанный специальный инвестиционный контракт, либо оформленный в письменном виде отказ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19.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В течение 5 рабочих дней со дня получения протокола разногласий Уполномоченный орган проводит переговоры с субъектом инвестиционной деятельности для урегулирования таких разногласий, получения согласия субъекта инвестиционной деятельности на подписание сп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ециального инвестиционного контракта на условиях, указанных в решении Комиссии о возможности заключения специального инвестиционного контракта, либо получения отказа субъекта инвестиционной деятельности от подписания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20. В случае неполучения Уполномоченным органом в течение 20 рабочих дней со дня направления субъекту инвестиционной деятельности решения Комиссии о возможности заключения специаль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ного инвестиционного контракта оформленного в письменном виде согласия субъекта инвестиционной деятельности на подписание специального инвестиционного контракта, протокола разногласий или отказа от подписания специального инвестиционного контракта субъект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инвестиционной деятельности считается отказавшимся от подписания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21. В течение 8 рабочих дней со дня получения подписанного субъектом инвестиционной деятельности специального инвестиционного контракта, Уп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олномоченный орган организует подписание специального инвестиционного контракта муниципальным образованием (в случае если муниципальное образование является стороной специального инвестиционного контракта) и подписывает специальный инвестиционный контракт.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22. Уполномоченный орган ведет реестр заключенных специальных инвестиционных контрактов в установленном им порядке.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Сведения о заключении, внесении изменений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и расторжении специальных инвестиционных контрактов в течение 10 рабочих дней со дня заключения, внесения изменений, расторжения специального инвестиционного контракта направляются Уполномоченным органом в Управление Федеральной налоговой службы России по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Республике Алтай.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23. В целях контроля за надлежащим исполнением субъектом инвестиционной деятельности обязательств, приня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тых по специальному инвестиционному контракту, проводится мониторинг исполнения субъектом инвестиционной деятельности обязательств, принятых по специальному инвестиционному контракту. Мониторинг осуществляет Уполномоченный орган в установленном им порядке.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24. Нормативные пр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авовые акты, принятые Уполномоченным органом во исполнение настоящего Порядка, размещаются в установленном порядке на официальном сайте Уполномоченного органа в информационно-телекоммуникационной сети «Интернет» в течение 5 рабочих дней со дня их принятия.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25. Специальный инвестиционный контракт может быть изменен или расторгнут в порядке и случаях, которые предусмотрены специальным инвестиционным контрактом и настоящим Порядком.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о возможности (невозможности) изменения условий заключенного специального инвестиционного контракта или о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целесообразности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или нецелесообразности расторжения специального инвестиционного контракта принимает Комиссия.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26. Для изменения условий заключенного специального инвестиционного контракта субъект инвестиционной деятельности подает в Уполномоченный орган заявление об изменении условий заключенного специального инвестиционного контракта с приложением проекта с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оглашения об изменении заключенного специального инвестиционного контракта, документов, обосновывающих необходимость внесения указанных изменений, в том числе сведений (документов), приведенных в пункте 8 настоящего Порядка (за исключением Заявления, указа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нного в абзаце первом подпункта 1 пункта 8, и бизнес-плана, указанного в абзаце втором подпункта 3 пункта 8), в случае, если внесение изменений в специальный инвестиционный контракт влечет изменение сведений, содержащихся в ранее представленных документах.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Датой поступления документов, указанных в абзаце первом настоящего пункта, считается дата регистрации документов в Уполномоченном органе. Указанные документы регистрируются в день их поступления в Уполномоченный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орган в соответствии с порядком делопроизводства, установленным в Уполномоченном органе.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если субъектом инвестиционной деятельности представлены документы, указанные в абзаце первом настоящего пункта, не в полном объеме, Уполномоченный орган в течение 3 рабочих дне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й со дня поступления заявления об изменении условий заключенного специального инвестиционного контракта принимает решение об отказе в дальнейшем рассмотрении документов и возвращает документы субъекту инвестиционной деятельности с указанием причины отказа.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Су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бъект инвестиционной деятельности, в отношении которого принято решение об отказе в дальнейшем рассмотрении документов, при устранении недостатков вправе обратиться в Уполномоченный орган повторно в порядке, установленном в абзаце первом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27. В случае если субъектом инвестиционной деятельности представлены документы в соответствии с абзацем первым пункта 26 настоящего Порядка в полном объеме, Уполномоченный орган направляет запросы: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отраслевой орган для подготовки Отраслевого заключения с учетом вносимых в специальный инвестиционный контракт изменений;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Министерство финансов Республики Алтай для подготовки заключения о возможности предоставления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мер стимулирования, необходимых для реализации инвестиционного проекта, с учетом соотношения объема инвестиций, запланированных в соответствии со специальным инвестиционным контрактом, и совокупного объема расходов и недополученных доходов консолидированно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го бюджета Республики Алтай, образующихся в связи с осуществлением мер стимулирования, предусмотренных специальным инвестиционным контрактом, - в случае если изменения в специальный инвестиционный контракт затрагивают указанные в настоящем абзаце сведения;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Министерство природных ресурсов и экологии Республики Алтай для подготовки заключения о возможности (невозможности) внесения изменений в специальный инвест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иционный контракт, касающихся реализации заявленных мероприятий по внедрению наилучших доступных технологий в рамках инвестиционного проекта, - в случае если изменения в специальный инвестиционный контракт затрагивают указанные в настоящем абзаце сведения;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органы местного самоуправления муниципальных образований, на территории которых планируется реализация (реализуется) инвестиционного проекта (нового этапа инвестиционного проекта), для представления Заключения органов местного самоуправления.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Запросы направляются с приложением представленных субъектом инвестиционной деятельности копий документов, указанных в абзаце первом пункта 26 настоящего Порядка, в течение 5 рабочих дней со дня их поступления.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Заключения, указанные в абзацах втором - пятом настоящего пункта, должны быть представлены в Уполномоченный орган в течение 5 рабочих дней со дня получения запроса.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в течение 10 рабочих дней с даты поступления заключений,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указанных в абзацах втором - пятом настоящего пункта, в произвольной форме готовит предварительное заключение о возможности (невозможности) внесения изменений в специальный инвестиционный контракт (далее – Предварительное заключение по внесению изменений).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Предварительное заключение по внесению изменений подписывается руководителем (заместителем руководителя) Уполномоченного органа в срок, установленный абзацем восьмым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в течение 3 рабочих дней со дня подписания Предварительного заключения по внесению изменений формирует и направляет в Ко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миссию пакет документов, включающий документы, представленные субъектом инвестиционной деятельности, Предварительное заключение по внесению изменений, Отраслевое заключение, Заключения органов местного самоуправления и в случае необходимости подготовки - з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аключение Министерства финансов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Алтай, заключение Министерств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природных ресурсов и экологии Республики Алтай.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Комиссия в течение 5 рабочих дней со дня поступления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пакета документов, указанного в абзаце десятом настоящего пункта, осуществляет оценку соответствия инвестиционного проекта (нового этапа инвестиционного проекта) целям и требованиям для заключения специального инвестиционного контракта, установленным наст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оящим Порядком, с учетом предлагаемых к внесению изменений и принимает решение о возможности (невозможности) внесения изменений в специальный инвестиционный контракт на предложенных субъектом инвестиционной деятельности условиях (далее - решение Комиссии).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чае принятия Комиссией решения о возможности внесения изменений в специальный инвестиционный контракт Уполномоченный орган дорабатывает проект соглашения об изменении заключенного специального инвестиционного контракта с учетом принятого Комиссией решения.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Информирование субъекта инвестиционной деятельности о принятом Комиссией решении 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возможности (невозможности) изменения условий заключенного специального инвестиционного контракта и подписание соглашения об изменении заключенного специального инвестиционного контракта осуществляются в соответствии с пунктами 16 - 21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28. Комиссия принимает решение о невозможности внесения изменений в специальный инвестиционный контракт, если внесение изменений в специальный инвестиционный контракт: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влечет наступление одного и более из случаев, указанных в пункте 15 настоящего Порядка;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не соответствует условиям заключенного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возможности (невозможности) изменения специального инвестиционного контракта содержит следующие сведения: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основание для изменения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перечень предлагаемых к изменению условий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выводы Комиссии о возможности (невозможности) изменения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возможности (невозможн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ости) изменения специального инвестиционного контракта принимается отдельно по каждому из предлагаемых к изменению условий специального инвестиционного контракта либо по всему перечню предлагаемых к изменению условий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возможности (невозможности) изменения специального инвестиционного контракта оформляется на бумажном носителе в форме протокола в пределах срока, установленного в абзаце одиннадцатом пункта 27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29. Инициатором внесения изменений в заключенный специальный инвестиционный контракт может выступать Уполномоченный орган в случаях, указанных в специальном инвестиционном контракте.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Для принятия решения Комиссии о возможности (невозможности) внесения изменений в заключенный специальный инвестиционный контракт Уполномоченный орган направляет в Комиссию Предварительное заключение по внесению изменений с приложением докум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ентов, обосновывающих необходимость внесения изменений, заключения, указанные в абзацах втором - пятом пункта 27 настоящего Порядка (в случае необходимости их подготовки), проекта соглашения об изменении заключенного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Для принятия решения Комиссии о возможности (невозможности) внесения изменений в заключенный специальный инвестиционный контракт Уполномоченный орган направляет в Комиссию Предварительное заключение по внесению изменений с приложением докум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ентов, обосновывающих необходимость внесения изменений, заключения, указанные в абзацах втором - пятом пункта 27 настоящего Порядка (в случае необходимости их подготовки), проекта соглашения об изменении заключенного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30. Специальный инвестиционный контракт может быть расторгнут в порядке и случаях, которые предусмотрены настоящим Порядком и специальным инвестиционным контрактом.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о целес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ообразности или нецелесообразности расторжения специального инвестиционного контракта принимается Комиссией на основании документов, представленных в соответствии с пунктами 26 и 27 настоящего Порядка, и в порядке, указанном в пункте 32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31. Для расторжения специального инвестиционного контракта по соглашению сторон субъект инвестиционной деятельности подает в Уполномоченный орган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заявление о расторжении заключенного специального инвестиционного контракта с приложением проекта соглашения о расторжении специального инвестиционного контракта и документов, обосновывающих необходимость расторжения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Датой поступления документов, указанных в аб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заце первом настоящего пункта, считается дата регистрации документов в Уполномоченном органе. Указанные документы регистрируются в день их поступления в Уполномоченный орган в соответствии с порядком делопроизводства, установленным в Уполномоченном органе.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32. Уполномоченный орган в течение 5 рабочих дней со дня поступления документов, указанных в пункте 31 настоящего Порядка, направляет запросы 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 Министерство финансов Республики Алтай, Министерство природных ресурсов и экологии Республики Алтай, отраслевой орган, органы местного самоуправления муниципальных образований, на территории которых планируется реализация (реализуется) инвестиционного про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екта (нового этапа инвестиционного проекта), для подготовки заключений о возможных последствиях расторжения заключенного специального инвестиционного контракта в связи с невыполнением обязательств и условий, относящихся к компетенции вышеуказанных органов.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Указанные в абзаце первом настоящего пункта заключения должны быть представлены в Уполномоченный орган в течение 5 рабочих дней со дня получения запроса.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в течение 10 рабочих дней с даты получения заключений, указанных в абзаце первом настоящего пункта,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готовит в произвольной форме предварительное заключение о возможности или невозможности расторжения специального инвестиционного контракта (далее – Предварительное заключение по расторжению) на представленных субъектом инвестиционной деятельности условиях.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Предварительное заключение по расторжению подписывается руководителем (заместителем руководителя) Уполномоченного органа в срок, установленный абзацем третьим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Уполномоченный орган в течение 3 рабочих дней со дня п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одписания Предварительного заключения по расторжению формирует и направляет в Комиссию пакет документов, включающий документы, представленные субъектом инвестиционной деятельности, Предварительное заключение по расторжению, заключения Министерства финансов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Республики Алтай, Министерство природных рес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урсов и экологии Республики Алтай, отраслевого органа и органов местного самоуправления муниципальных образований в Республики Алтай, на территории которых планируется реализация (реализуется) инвестиционного проекта (нового этапа инвестиционного проекта).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Комиссия в течение 5 рабочих дней со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дня поступления пакета документов, указанного в абзаце пятом настоящего пункта, принимает решение о целесообразности или нецелесообразности расторжения специального инвестиционного контракта на представленных субъектом инвестиционной деятельности условиях.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о целесообразности или нецелесообразности расторжения специального инвестиционного контракта принимается Комиссией на основании условий заключенного специального инвестиционного контракта и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принятия Комиссией решения о целесообразности расторжения специального инвестиционного контракта Уполномоченный орган дорабатывает проект соглашения о расторжении специального инвестиционного контракта с учетом принятого Комиссией решения.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Информирование субъекта инвестиционной деятельности о принятом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Комиссией решении о целесообразности или нецелесообразности расторжения специального инвестиционного контракта и подписание соглашения о расторжении специального инвестиционного контракта осуществляются в соответствии с пунктами 16 - 21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целесообразности или нецелесообразности расторжения специального инвестиционного контракта по соглашению сторон содержит следующие сведения: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основание для расторжения специального инвестиционного контракта;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условия, на которых расторгается либо может быть расторгнут специальный инвестиционный контракт;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целесообразности или нецелесообразности расторжения специального инвестиционного контракта на представленных субъектом инвестиционной деятельности условиях.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целесообразности или нецелесообразности расторжения специального инвестиционного контракта оформляется на бумажном носителе в форме протокола в пределах срока, установленного в абзаце шестом настоящего пункта.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Решение Комиссии о целесообразности или нецелесообразности расторжения специального инвестиционного контракта является основанием для подписания сторонами специального инвестиционного контракта соглашения о расторж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ении специального инвестиционного контракта либо (в случае если какая-либо из сторон специального инвестиционного контракта не согласна с его расторжением) для обращения в суд с требованием о расторжении заключенного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33. Инициатором расторжения специального инвестиционного контракта может выступать Уполномоченный орг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ан на основании результатов контроля исполнения субъектом инвестиционной деятельности обязательств, принятых по специальному инвестиционному контракту, при выявлении случаев, указанных в пункте 28 настоящего Порядка и специальном инвестиционном контракте.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Для принятия решения Комиссии о целесообразности или нецелесообразности расторжения специального инвестиционного контракта Уполномоченный орган направляет в Ком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иссию Предварительное заключение по расторжению с приложением документов, обосновывающих необходимость расторжения, заключений, указанных в абзаце первом пункта 32 настоящего Порядка, проекта соглашения о расторжении специального инвестиционного контракта.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Подготовка заклю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чений и принятие решения о целесообразности или нецелесообразности расторжения специального инвестиционного контракта, подписание соглашения о расторжении специального инвестиционного контракта осуществляются в соответствии с пунктом 32 настоящего Порядка.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18" w:lineRule="atLeast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 случае отказа субъекта инвестиционной деятельности от подписания соглашения о расторжении специального инвестиционного контракта Уполномоченный орган инициирует расторжение специального инвестиционного контракта в одностороннем порядке по решению суда.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keepNext/>
        <w:spacing w:after="0" w:line="240" w:lineRule="auto"/>
        <w:widowControl w:val="off"/>
        <w:rPr>
          <w:rFonts w:ascii="PT Astra Serif" w:hAnsi="PT Astra Serif" w:eastAsia="Times New Roman" w:cs="PT Astra Serif"/>
          <w:b/>
          <w:bCs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PT Astra Serif"/>
          <w:b/>
          <w:bCs/>
          <w:sz w:val="26"/>
          <w:szCs w:val="26"/>
          <w:lang w:eastAsia="ru-RU"/>
        </w:rPr>
        <w:t xml:space="preserve">Пояснительная записка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eastAsia="Arial" w:cs="Arial"/>
          <w:b/>
          <w:sz w:val="26"/>
          <w:szCs w:val="26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6"/>
          <w:szCs w:val="26"/>
          <w:lang w:eastAsia="ru-RU"/>
        </w:rPr>
        <w:t xml:space="preserve">к проекту постановления</w:t>
      </w:r>
      <w:r>
        <w:rPr>
          <w:rFonts w:ascii="PT Astra Serif" w:hAnsi="PT Astra Serif" w:eastAsia="Times New Roman" w:cs="PT Astra Serif"/>
          <w:b/>
          <w:bCs/>
          <w:sz w:val="24"/>
          <w:szCs w:val="24"/>
          <w:lang w:eastAsia="ru-RU"/>
        </w:rPr>
        <w:t xml:space="preserve"> «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  <w:t xml:space="preserve">Об утверждении порядка заключения специального инвестиционного контракта Республикой Алтай»</w:t>
      </w:r>
      <w:r>
        <w:rPr>
          <w:rFonts w:ascii="PT Astra Serif" w:hAnsi="PT Astra Serif" w:eastAsia="Arial" w:cs="Arial"/>
          <w:b/>
          <w:sz w:val="26"/>
          <w:szCs w:val="26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right="-1" w:firstLine="709"/>
        <w:jc w:val="both"/>
        <w:spacing w:after="0" w:line="240" w:lineRule="auto"/>
        <w:shd w:val="clear" w:color="auto" w:fill="ffffff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Субъектом нормотворческой деятельности выступает Правительство Республики Алтай. Разработчиком проекта постановления Правительства Республики Алтай </w:t>
      </w:r>
      <w:r>
        <w:rPr>
          <w:rFonts w:ascii="PT Astra Serif" w:hAnsi="PT Astra Serif" w:eastAsia="Times New Roman" w:cs="PT Astra Serif"/>
          <w:bCs/>
          <w:sz w:val="26"/>
          <w:szCs w:val="26"/>
          <w:lang w:eastAsia="ru-RU"/>
        </w:rPr>
        <w:t xml:space="preserve">«</w:t>
      </w:r>
      <w:r>
        <w:rPr>
          <w:rFonts w:ascii="PT Astra Serif" w:hAnsi="PT Astra Serif" w:eastAsia="Arial" w:cs="Arial"/>
          <w:sz w:val="26"/>
          <w:szCs w:val="26"/>
          <w:lang w:eastAsia="ru-RU"/>
        </w:rPr>
        <w:t xml:space="preserve">Об утверждении порядка заключения специального инвестиционного контракта Республикой Алтай»</w:t>
      </w:r>
      <w:r>
        <w:rPr>
          <w:rFonts w:ascii="PT Astra Serif" w:hAnsi="PT Astra Serif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(далее – проект постановления) является Министерство экономического развития Республики Алтай.</w:t>
      </w: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Предметом правового регулирования является установление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порядка заключения специального инвестици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онного контракта, заключаемого Республикой Алтай без участия Российской Федерации (далее - специальный инвестиционный контракт) с юридическим лицом или индивидуальным предпринимателем, принимающим на себя обязательства в предусмотренный специальным инвести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ционным контрактом срок своими силами или с привлечением иных лиц реализовать инвестиционный проект или новый этап инвестиционного проекта по созданию и (или) модернизации и (или) освоению производства промышленной продукции на территории Республики Алтай.</w:t>
      </w: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Необходимость принятия проекта постановления является реализацией приведения нормативных правовых актов Республики Алтай в соответствие с федеральным законодательством. </w:t>
      </w: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Правовым основанием принятия проекта постановления являются: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а)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часть 3 статьи 3, часть 2 статьи 32 Федерального закона от 21 декабря 2021 г. № 414-ФЗ «Об общих принципах организации публичной власти в субъектах Российской Федерации», согласно которым: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субъекты Российской Федерации вправе осуществлять собственное правовое регулирование по предметам совместного ведения;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Федерации, федеральных конституционных законов, федеральных законов и иных нормативных правовы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б) пункт 1 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статья 7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Федерального закона</w:t>
      </w:r>
      <w:r>
        <w:rPr>
          <w:rFonts w:ascii="PT Astra Serif" w:hAnsi="PT Astra Serif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от 31 декабря 2014 г. № 488-ФЗ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br/>
        <w:t xml:space="preserve">«О промышленной политике Российской Федерации» полномочиям органов государственной власти субъектов Российской Федерации в сфере про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мышленной политики относятся принятие законов и иных нормативных правовых актов субъектов Российской Федерации, устанавливающих меры стимулирования деятельности в сфере промышленности, осуществляемые за счет средств бюджетов субъектов Российской Федерации;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в) 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подпункт 8 пункт 1 статья 3 Закон Республики Алтай от 4 апреля 2016 года №28-РЗ «О промышленной политике в Республике Алтай»,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согласно которому к полномочиям Правительства Республики Алтай в сфере промышленной политики относится заключение специального инвестиционного контракта;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г) часть 1 статьи 11 Закона Республики Алтай от 5 марта 2008 г. № 18-РЗ «О нормативных правовых актах Республики Алтай», согласно которым: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26"/>
          <w:szCs w:val="26"/>
          <w:lang w:eastAsia="ru-RU"/>
        </w:rPr>
        <w:outlineLvl w:val="1"/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Правительство Республики Алтай по вопросам, входящим в его компетенцию, издает в соответствии с установленной процедурой правовые акты в форме постановлений и распоряжений.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</w:r>
    </w:p>
    <w:p>
      <w:pPr>
        <w:ind w:right="-1" w:firstLine="709"/>
        <w:jc w:val="both"/>
        <w:spacing w:after="0" w:line="240" w:lineRule="auto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По пр</w:t>
      </w:r>
      <w:r>
        <w:rPr>
          <w:rFonts w:ascii="PT Astra Serif" w:hAnsi="PT Astra Serif" w:eastAsia="Times New Roman" w:cs="Times New Roman"/>
          <w:color w:val="000000"/>
          <w:sz w:val="26"/>
          <w:szCs w:val="26"/>
          <w:lang w:eastAsia="ru-RU"/>
        </w:rPr>
        <w:t xml:space="preserve">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порядке, по результатам которой положения, способствующие созданию условий для проявления коррупции, не выявлены. 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600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26"/>
          <w:szCs w:val="26"/>
          <w:lang w:eastAsia="ru-RU"/>
        </w:rPr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Принятие проекта постановления не потребует дополнительных расходов из республиканского бюджета Республики Алтай.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</w:r>
    </w:p>
    <w:p>
      <w:pPr>
        <w:ind w:firstLine="600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sz w:val="26"/>
          <w:szCs w:val="26"/>
          <w:lang w:eastAsia="ru-RU"/>
        </w:rPr>
      </w:pPr>
      <w:r>
        <w:rPr>
          <w:rFonts w:ascii="PT Astra Serif" w:hAnsi="PT Astra Serif" w:eastAsia="Times New Roman" w:cs="PT Astra Serif"/>
          <w:sz w:val="26"/>
          <w:szCs w:val="26"/>
          <w:lang w:eastAsia="ru-RU"/>
        </w:rPr>
        <w:t xml:space="preserve">Принятие проекта постановления не потребует внесения изменений, признания утратившими силу, приостановления или принятия иных нормативных правовых актов Республики Алтай.</w:t>
      </w:r>
      <w:r>
        <w:rPr>
          <w:rFonts w:ascii="PT Astra Serif" w:hAnsi="PT Astra Serif" w:eastAsia="Times New Roman" w:cs="PT Astra Serif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PT Astra Serif" w:hAnsi="PT Astra Serif" w:eastAsia="Times New Roman" w:cs="Times New Roman"/>
          <w:sz w:val="26"/>
          <w:szCs w:val="26"/>
          <w:lang w:eastAsia="ru-RU"/>
        </w:rPr>
      </w:pP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 xml:space="preserve">Министр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  <w:tab/>
        <w:t xml:space="preserve">С.С. Боровиков</w:t>
      </w:r>
      <w:r>
        <w:rPr>
          <w:rFonts w:ascii="PT Astra Serif" w:hAnsi="PT Astra Serif" w:eastAsia="Times New Roman" w:cs="Times New Roman"/>
          <w:sz w:val="26"/>
          <w:szCs w:val="26"/>
          <w:lang w:eastAsia="ru-RU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/>
      <w:bookmarkStart w:id="1" w:name="_GoBack"/>
      <w:r/>
      <w:bookmarkEnd w:id="1"/>
      <w:r/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spacing w:after="0" w:line="18" w:lineRule="atLeas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PT Astra Serif">
    <w:panose1 w:val="020A0603040505020204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PT Astra Sans">
    <w:panose1 w:val="020B0603020203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269475"/>
      <w:docPartObj>
        <w:docPartGallery w:val="Page Numbers (Top of Page)"/>
        <w:docPartUnique w:val="true"/>
      </w:docPartObj>
      <w:rPr/>
    </w:sdtPr>
    <w:sdtContent>
      <w:p>
        <w:pPr>
          <w:pStyle w:val="6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ans" w:hAnsi="PT Astra Sans" w:eastAsia="Calibri" w:cs="Tahoma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8"/>
    <w:next w:val="67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8"/>
    <w:next w:val="67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9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9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688"/>
    <w:uiPriority w:val="99"/>
  </w:style>
  <w:style w:type="character" w:styleId="46">
    <w:name w:val="Footer Char"/>
    <w:basedOn w:val="679"/>
    <w:link w:val="690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spacing w:after="160" w:line="259" w:lineRule="auto"/>
    </w:p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>
    <w:name w:val="Strong"/>
    <w:uiPriority w:val="22"/>
    <w:qFormat/>
    <w:rPr>
      <w:b/>
      <w:bCs/>
    </w:rPr>
  </w:style>
  <w:style w:type="paragraph" w:styleId="683" w:customStyle="1">
    <w:name w:val="docdata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4">
    <w:name w:val="Normal (Web)"/>
    <w:basedOn w:val="67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85" w:customStyle="1">
    <w:name w:val="1158"/>
    <w:basedOn w:val="679"/>
  </w:style>
  <w:style w:type="paragraph" w:styleId="686">
    <w:name w:val="Balloon Text"/>
    <w:basedOn w:val="678"/>
    <w:link w:val="68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79"/>
    <w:link w:val="686"/>
    <w:uiPriority w:val="99"/>
    <w:semiHidden/>
    <w:rPr>
      <w:rFonts w:ascii="Segoe UI" w:hAnsi="Segoe UI" w:cs="Segoe UI"/>
      <w:sz w:val="18"/>
      <w:szCs w:val="18"/>
    </w:rPr>
  </w:style>
  <w:style w:type="paragraph" w:styleId="688">
    <w:name w:val="Header"/>
    <w:basedOn w:val="678"/>
    <w:link w:val="68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9" w:customStyle="1">
    <w:name w:val="Верхний колонтитул Знак"/>
    <w:basedOn w:val="679"/>
    <w:link w:val="688"/>
    <w:uiPriority w:val="99"/>
  </w:style>
  <w:style w:type="paragraph" w:styleId="690">
    <w:name w:val="Footer"/>
    <w:basedOn w:val="678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Нижний колонтитул Знак"/>
    <w:basedOn w:val="679"/>
    <w:link w:val="69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Кадцына Анна Ильинична</cp:lastModifiedBy>
  <cp:revision>5</cp:revision>
  <dcterms:created xsi:type="dcterms:W3CDTF">2025-11-10T02:41:00Z</dcterms:created>
  <dcterms:modified xsi:type="dcterms:W3CDTF">2025-11-14T02:13:13Z</dcterms:modified>
</cp:coreProperties>
</file>