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59"/>
        <w:tblW w:w="9720" w:type="dxa"/>
        <w:tblInd w:w="-1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1080"/>
        <w:gridCol w:w="4320"/>
      </w:tblGrid>
      <w:tr>
        <w:tblPrEx/>
        <w:trPr>
          <w:trHeight w:val="1134" w:hRule="exact"/>
        </w:trPr>
        <w:tc>
          <w:tcPr>
            <w:tcW w:w="4320" w:type="dxa"/>
            <w:textDirection w:val="lrTb"/>
            <w:noWrap w:val="false"/>
          </w:tcPr>
          <w:p>
            <w:pPr>
              <w:rPr>
                <w:rFonts w:ascii="PT Astra Serif" w:hAnsi="PT Astra Serif" w:cs="Times New Roman"/>
                <w:sz w:val="26"/>
                <w:szCs w:val="26"/>
              </w:rPr>
            </w:pPr>
            <w:r/>
            <w:bookmarkStart w:id="0" w:name="_GoBack"/>
            <w:r/>
            <w:bookmarkEnd w:id="0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15600" cy="612000"/>
                      <wp:effectExtent l="19050" t="0" r="0" b="0"/>
                      <wp:docPr id="1" name="Рисунок 1" descr="C:\Users\User\Desktop\ГЕРБ РА [преобразованный]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 descr="C:\Users\User\Desktop\ГЕРБ РА [преобразованный].pn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15600" cy="61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8.47pt;height:48.19pt;mso-wrap-distance-left:0.00pt;mso-wrap-distance-top:0.00pt;mso-wrap-distance-right:0.00pt;mso-wrap-distance-bottom:0.00pt;" stroked="f" strokeweight="0.75pt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432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  <w:tr>
        <w:tblPrEx/>
        <w:trPr>
          <w:trHeight w:val="851" w:hRule="exact"/>
        </w:trPr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ПРАВИТЕЛЬСТВО</w:t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РЕСПУБЛИКИ АЛТАЙ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spacing w:val="-6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pacing w:val="-6"/>
                <w:sz w:val="26"/>
                <w:szCs w:val="26"/>
              </w:rPr>
              <w:t xml:space="preserve">АЛТАЙ РЕСПУБЛИКАНЫҤ</w:t>
            </w:r>
            <w:r>
              <w:rPr>
                <w:rFonts w:ascii="PT Astra Serif" w:hAnsi="PT Astra Serif" w:cs="Times New Roman"/>
                <w:b/>
                <w:spacing w:val="-6"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pacing w:val="-6"/>
                <w:sz w:val="26"/>
                <w:szCs w:val="26"/>
              </w:rPr>
              <w:t xml:space="preserve">БАШКАРУЗЫ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  <w:tr>
        <w:tblPrEx/>
        <w:trPr>
          <w:trHeight w:val="170" w:hRule="exact"/>
        </w:trPr>
        <w:tc>
          <w:tcPr>
            <w:gridSpan w:val="3"/>
            <w:tcBorders>
              <w:bottom w:val="single" w:color="auto" w:sz="24" w:space="0"/>
            </w:tcBorders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  <w:lang w:val="en-US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val="en-US"/>
              </w:rPr>
            </w:r>
            <w:r>
              <w:rPr>
                <w:rFonts w:ascii="PT Astra Serif" w:hAnsi="PT Astra Serif" w:cs="Times New Roman"/>
                <w:sz w:val="26"/>
                <w:szCs w:val="26"/>
                <w:lang w:val="en-US"/>
              </w:rPr>
            </w:r>
          </w:p>
        </w:tc>
      </w:tr>
      <w:tr>
        <w:tblPrEx/>
        <w:trPr>
          <w:trHeight w:val="283" w:hRule="exact"/>
        </w:trPr>
        <w:tc>
          <w:tcPr>
            <w:gridSpan w:val="3"/>
            <w:tcBorders>
              <w:top w:val="single" w:color="auto" w:sz="24" w:space="0"/>
            </w:tcBorders>
            <w:tcW w:w="9720" w:type="dxa"/>
            <w:textDirection w:val="lrTb"/>
            <w:noWrap w:val="false"/>
          </w:tcPr>
          <w:p>
            <w:pPr>
              <w:rPr>
                <w:rFonts w:ascii="PT Astra Serif" w:hAnsi="PT Astra Serif" w:cs="Times New Roman"/>
                <w:sz w:val="26"/>
                <w:szCs w:val="26"/>
                <w:lang w:val="en-US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val="en-US"/>
              </w:rPr>
            </w:r>
            <w:r>
              <w:rPr>
                <w:rFonts w:ascii="PT Astra Serif" w:hAnsi="PT Astra Serif" w:cs="Times New Roman"/>
                <w:sz w:val="26"/>
                <w:szCs w:val="26"/>
                <w:lang w:val="en-US"/>
              </w:rPr>
            </w:r>
          </w:p>
        </w:tc>
      </w:tr>
      <w:tr>
        <w:tblPrEx/>
        <w:trPr>
          <w:trHeight w:val="283"/>
        </w:trPr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  <w:t xml:space="preserve">ПОСТАНОВЛЕНИЕ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  <w:t xml:space="preserve">ЈӦП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</w:tc>
        <w:tc>
          <w:tcPr>
            <w:tcW w:w="1080" w:type="dxa"/>
            <w:textDirection w:val="lrTb"/>
            <w:noWrap w:val="false"/>
          </w:tcPr>
          <w:p>
            <w:pPr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tcW w:w="43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left"/>
              <w:tabs>
                <w:tab w:val="center" w:pos="4292" w:leader="none"/>
              </w:tabs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ab/>
            </w:r>
            <w:bookmarkStart w:id="1" w:name="REGDATESTAMP"/>
            <w:r/>
            <w:bookmarkEnd w:id="1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  <w:p>
            <w:pPr>
              <w:jc w:val="left"/>
              <w:tabs>
                <w:tab w:val="center" w:pos="4292" w:leader="none"/>
              </w:tabs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color w:val="d9d9d9" w:themeColor="background1" w:themeShade="D9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г. Горно-Алтайск</w:t>
            </w:r>
            <w:r>
              <w:rPr>
                <w:rFonts w:ascii="PT Astra Serif" w:hAnsi="PT Astra Serif" w:cs="Times New Roman"/>
                <w:color w:val="d9d9d9" w:themeColor="background1" w:themeShade="D9"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/>
            <w:permStart w:edGrp="everyone" w:id="1494241247"/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[</w:t>
            </w:r>
            <w:r>
              <w:rPr>
                <w:rFonts w:ascii="PT Astra Serif" w:hAnsi="PT Astra Serif" w:cs="PT Astra Serif"/>
                <w:b/>
                <w:bCs/>
                <w:sz w:val="26"/>
                <w:szCs w:val="26"/>
              </w:rPr>
              <w:t xml:space="preserve">Об утверждении прогнозного плана (программы) приватизации государственного имущества Республики Алтай на 2027 год и плановый период 2028 и 2029 годов</w:t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  <w:t xml:space="preserve">]</w:t>
            </w:r>
            <w:permEnd w:id="1494241247"/>
            <w:r/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</w:tc>
      </w:tr>
      <w:tr>
        <w:tblPrEx/>
        <w:trPr>
          <w:trHeight w:val="283"/>
        </w:trPr>
        <w:tc>
          <w:tcPr>
            <w:gridSpan w:val="3"/>
            <w:tcW w:w="97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  <w:r>
              <w:rPr>
                <w:rFonts w:ascii="PT Astra Serif" w:hAnsi="PT Astra Serif" w:cs="Times New Roman"/>
                <w:bCs/>
                <w:sz w:val="26"/>
                <w:szCs w:val="26"/>
              </w:rPr>
            </w:r>
          </w:p>
        </w:tc>
      </w:tr>
    </w:tbl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/>
      <w:permStart w:edGrp="everyone" w:id="645692024"/>
      <w:r>
        <w:rPr>
          <w:rFonts w:ascii="PT Astra Serif" w:hAnsi="PT Astra Serif"/>
          <w:sz w:val="26"/>
          <w:szCs w:val="26"/>
        </w:rPr>
        <w:t xml:space="preserve">В соответствии с Федеральным законом от 21 декабря 2001 г. № 178-ФЗ </w:t>
      </w:r>
      <w:r>
        <w:rPr>
          <w:rFonts w:ascii="PT Astra Serif" w:hAnsi="PT Astra Serif"/>
          <w:sz w:val="26"/>
          <w:szCs w:val="26"/>
        </w:rPr>
        <w:br/>
        <w:t xml:space="preserve">«О приватизации государственного и муниципального имущества», Законом Республики Алтай от 5 мая 2011 г. № 17-РЗ «Об управлении государственной собственностью Республики Алтай» Правительство Республики Алтай постановляет:</w:t>
      </w:r>
      <w:r>
        <w:rPr>
          <w:rFonts w:ascii="PT Astra Serif" w:hAnsi="PT Astra Serif"/>
          <w:sz w:val="26"/>
          <w:szCs w:val="26"/>
        </w:rPr>
      </w:r>
    </w:p>
    <w:p>
      <w:pPr>
        <w:pStyle w:val="662"/>
        <w:ind w:firstLine="709"/>
        <w:jc w:val="both"/>
        <w:widowControl w:val="off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Утвердить прилагаемый прогнозный план (программу) приватизации государственного имущества Республики Алтай на 2027 год и плановый период 2028 и 2029 годов.</w:t>
      </w:r>
      <w:permEnd w:id="645692024"/>
      <w:r>
        <w:rPr>
          <w:rFonts w:ascii="PT Astra Serif" w:hAnsi="PT Astra Serif"/>
          <w:color w:val="000000" w:themeColor="text1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410"/>
        <w:gridCol w:w="2409"/>
      </w:tblGrid>
      <w:tr>
        <w:tblPrEx/>
        <w:trPr/>
        <w:tc>
          <w:tcPr>
            <w:shd w:val="clear" w:color="auto" w:fill="auto"/>
            <w:tcW w:w="4820" w:type="dxa"/>
            <w:textDirection w:val="lrTb"/>
            <w:noWrap w:val="false"/>
          </w:tcPr>
          <w:p>
            <w:pPr>
              <w:jc w:val="center"/>
              <w:tabs>
                <w:tab w:val="left" w:pos="709" w:leader="none"/>
              </w:tabs>
              <w:rPr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Председатель Правительства</w:t>
            </w:r>
            <w:r>
              <w:rPr>
                <w:sz w:val="26"/>
                <w:szCs w:val="26"/>
              </w:rPr>
            </w:r>
          </w:p>
          <w:p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  <w:t xml:space="preserve"> Республики Алтай</w:t>
            </w:r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ind w:left="2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/>
            <w:bookmarkStart w:id="2" w:name="SIGNERSTAMP1"/>
            <w:r/>
            <w:bookmarkEnd w:id="2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  <w:tc>
          <w:tcPr>
            <w:shd w:val="clear" w:color="auto" w:fill="auto"/>
            <w:tcW w:w="2409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/>
            <w:bookmarkStart w:id="3" w:name="SIGNERNAME1"/>
            <w:r/>
            <w:bookmarkEnd w:id="3"/>
            <w:r/>
            <w:r>
              <w:rPr>
                <w:rFonts w:ascii="PT Astra Serif" w:hAnsi="PT Astra Serif" w:cs="Times New Roman"/>
                <w:sz w:val="26"/>
                <w:szCs w:val="26"/>
              </w:rPr>
            </w:r>
          </w:p>
        </w:tc>
      </w:tr>
    </w:tbl>
    <w:p>
      <w:pPr>
        <w:rPr>
          <w:rFonts w:ascii="PT Astra Serif" w:hAnsi="PT Astra Serif" w:cs="Times New Roman"/>
          <w:sz w:val="26"/>
          <w:szCs w:val="26"/>
        </w:rPr>
      </w:pPr>
      <w:r/>
      <w:permStart w:edGrp="everyone" w:id="308947543"/>
      <w:r>
        <w:rPr>
          <w:rFonts w:ascii="PT Astra Serif" w:hAnsi="PT Astra Serif" w:cs="Times New Roman"/>
          <w:sz w:val="26"/>
          <w:szCs w:val="26"/>
        </w:rPr>
        <w:br w:type="page" w:clear="all"/>
      </w:r>
      <w:r>
        <w:rPr>
          <w:rFonts w:ascii="PT Astra Serif" w:hAnsi="PT Astra Serif" w:cs="Times New Roman"/>
          <w:sz w:val="26"/>
          <w:szCs w:val="26"/>
        </w:rPr>
      </w:r>
    </w:p>
    <w:tbl>
      <w:tblPr>
        <w:tblStyle w:val="659"/>
        <w:tblW w:w="0" w:type="auto"/>
        <w:tblInd w:w="51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68"/>
      </w:tblGrid>
      <w:tr>
        <w:tblPrEx/>
        <w:trPr/>
        <w:tc>
          <w:tcPr>
            <w:tcW w:w="4468" w:type="dxa"/>
            <w:textDirection w:val="lrTb"/>
            <w:noWrap w:val="false"/>
          </w:tcPr>
          <w:p>
            <w:pPr>
              <w:contextualSpacing/>
              <w:jc w:val="center"/>
              <w:spacing w:after="200"/>
              <w:rPr>
                <w:rFonts w:ascii="PT Astra Serif" w:hAnsi="PT Astra Serif" w:eastAsia="Calibri"/>
                <w:sz w:val="26"/>
                <w:szCs w:val="26"/>
              </w:rPr>
            </w:pPr>
            <w:r>
              <w:rPr>
                <w:rFonts w:ascii="PT Astra Serif" w:hAnsi="PT Astra Serif" w:eastAsia="Calibri"/>
                <w:sz w:val="26"/>
                <w:szCs w:val="26"/>
              </w:rPr>
              <w:t xml:space="preserve">УТВЕРЖДЕН</w:t>
            </w:r>
            <w:r>
              <w:rPr>
                <w:rFonts w:ascii="PT Astra Serif" w:hAnsi="PT Astra Serif" w:eastAsia="Calibri"/>
                <w:sz w:val="26"/>
                <w:szCs w:val="26"/>
              </w:rPr>
            </w:r>
          </w:p>
          <w:p>
            <w:pPr>
              <w:contextualSpacing/>
              <w:jc w:val="center"/>
              <w:spacing w:after="200"/>
              <w:rPr>
                <w:rFonts w:ascii="PT Astra Serif" w:hAnsi="PT Astra Serif" w:eastAsia="Calibri"/>
                <w:sz w:val="26"/>
                <w:szCs w:val="26"/>
              </w:rPr>
            </w:pPr>
            <w:r>
              <w:rPr>
                <w:rFonts w:ascii="PT Astra Serif" w:hAnsi="PT Astra Serif" w:eastAsia="Calibri"/>
                <w:sz w:val="26"/>
                <w:szCs w:val="26"/>
              </w:rPr>
              <w:t xml:space="preserve">постановлением Правительства</w:t>
            </w:r>
            <w:r>
              <w:rPr>
                <w:rFonts w:ascii="PT Astra Serif" w:hAnsi="PT Astra Serif" w:eastAsia="Calibri"/>
                <w:sz w:val="26"/>
                <w:szCs w:val="26"/>
              </w:rPr>
            </w:r>
          </w:p>
          <w:p>
            <w:pPr>
              <w:contextualSpacing/>
              <w:jc w:val="center"/>
              <w:spacing w:after="200"/>
              <w:rPr>
                <w:rFonts w:ascii="PT Astra Serif" w:hAnsi="PT Astra Serif" w:eastAsia="Calibri"/>
                <w:sz w:val="26"/>
                <w:szCs w:val="26"/>
              </w:rPr>
            </w:pPr>
            <w:r>
              <w:rPr>
                <w:rFonts w:ascii="PT Astra Serif" w:hAnsi="PT Astra Serif" w:eastAsia="Calibri"/>
                <w:sz w:val="26"/>
                <w:szCs w:val="26"/>
              </w:rPr>
              <w:t xml:space="preserve">Республики Алтай</w:t>
            </w:r>
            <w:r>
              <w:rPr>
                <w:rFonts w:ascii="PT Astra Serif" w:hAnsi="PT Astra Serif" w:eastAsia="Calibri"/>
                <w:sz w:val="26"/>
                <w:szCs w:val="26"/>
              </w:rPr>
            </w:r>
          </w:p>
          <w:p>
            <w:pPr>
              <w:contextualSpacing/>
              <w:spacing w:after="200"/>
              <w:tabs>
                <w:tab w:val="center" w:pos="1700" w:leader="none"/>
              </w:tabs>
              <w:rPr>
                <w:rFonts w:ascii="PT Astra Serif" w:hAnsi="PT Astra Serif" w:eastAsia="Calibri"/>
                <w:color w:val="ffffff" w:themeColor="background1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ab/>
            </w:r>
            <w:r>
              <w:rPr>
                <w:rFonts w:ascii="PT Astra Serif" w:hAnsi="PT Astra Serif"/>
                <w:color w:val="ffffff" w:themeColor="background1"/>
                <w:sz w:val="26"/>
                <w:szCs w:val="26"/>
              </w:rPr>
              <w:t xml:space="preserve">[</w:t>
            </w:r>
            <w:r>
              <w:rPr>
                <w:rFonts w:ascii="PT Astra Serif" w:hAnsi="PT Astra Serif"/>
                <w:color w:val="ffffff" w:themeColor="background1"/>
                <w:sz w:val="26"/>
                <w:szCs w:val="26"/>
                <w:lang w:val="en-US"/>
              </w:rPr>
              <w:t xml:space="preserve">REGDATESTAMP</w:t>
            </w:r>
            <w:r>
              <w:rPr>
                <w:rFonts w:ascii="PT Astra Serif" w:hAnsi="PT Astra Serif"/>
                <w:color w:val="ffffff" w:themeColor="background1"/>
                <w:sz w:val="26"/>
                <w:szCs w:val="26"/>
              </w:rPr>
              <w:t xml:space="preserve">]</w:t>
            </w:r>
            <w:permEnd w:id="308947543"/>
            <w:r>
              <w:rPr>
                <w:rFonts w:ascii="PT Astra Serif" w:hAnsi="PT Astra Serif" w:eastAsia="Calibri"/>
                <w:color w:val="ffffff" w:themeColor="background1"/>
                <w:sz w:val="26"/>
                <w:szCs w:val="26"/>
              </w:rPr>
            </w:r>
          </w:p>
        </w:tc>
      </w:tr>
    </w:tbl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67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ПРОГНОЗНЫЙ ПЛАН</w:t>
      </w:r>
      <w:r>
        <w:rPr>
          <w:rFonts w:ascii="PT Astra Serif" w:hAnsi="PT Astra Serif"/>
          <w:sz w:val="26"/>
          <w:szCs w:val="26"/>
        </w:rPr>
      </w:r>
    </w:p>
    <w:p>
      <w:pPr>
        <w:pStyle w:val="67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(ПРОГРАММА) ПРИВАТИЗАЦИИ ГОСУДАРСТВЕННОГО ИМУЩЕСТВА</w:t>
      </w:r>
      <w:r>
        <w:rPr>
          <w:rFonts w:ascii="PT Astra Serif" w:hAnsi="PT Astra Serif"/>
          <w:sz w:val="26"/>
          <w:szCs w:val="26"/>
        </w:rPr>
      </w:r>
    </w:p>
    <w:p>
      <w:pPr>
        <w:pStyle w:val="67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РЕСПУБЛИКИ АЛТАЙ НА 202</w:t>
      </w:r>
      <w:r>
        <w:rPr>
          <w:rFonts w:ascii="PT Astra Serif" w:hAnsi="PT Astra Serif"/>
          <w:sz w:val="26"/>
          <w:szCs w:val="26"/>
        </w:rPr>
        <w:t xml:space="preserve">7</w:t>
      </w:r>
      <w:r>
        <w:rPr>
          <w:rFonts w:ascii="PT Astra Serif" w:hAnsi="PT Astra Serif"/>
          <w:sz w:val="26"/>
          <w:szCs w:val="26"/>
        </w:rPr>
        <w:t xml:space="preserve"> ГОД И ПЛАНОВЫЙ ПЕРИОД</w:t>
      </w:r>
      <w:r>
        <w:rPr>
          <w:rFonts w:ascii="PT Astra Serif" w:hAnsi="PT Astra Serif"/>
          <w:sz w:val="26"/>
          <w:szCs w:val="26"/>
        </w:rPr>
      </w:r>
    </w:p>
    <w:p>
      <w:pPr>
        <w:pStyle w:val="67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202</w:t>
      </w:r>
      <w:r>
        <w:rPr>
          <w:rFonts w:ascii="PT Astra Serif" w:hAnsi="PT Astra Serif"/>
          <w:sz w:val="26"/>
          <w:szCs w:val="26"/>
        </w:rPr>
        <w:t xml:space="preserve">8</w:t>
      </w:r>
      <w:r>
        <w:rPr>
          <w:rFonts w:ascii="PT Astra Serif" w:hAnsi="PT Astra Serif"/>
          <w:sz w:val="26"/>
          <w:szCs w:val="26"/>
        </w:rPr>
        <w:t xml:space="preserve"> И 202</w:t>
      </w:r>
      <w:r>
        <w:rPr>
          <w:rFonts w:ascii="PT Astra Serif" w:hAnsi="PT Astra Serif"/>
          <w:sz w:val="26"/>
          <w:szCs w:val="26"/>
        </w:rPr>
        <w:t xml:space="preserve">9</w:t>
      </w:r>
      <w:r>
        <w:rPr>
          <w:rFonts w:ascii="PT Astra Serif" w:hAnsi="PT Astra Serif"/>
          <w:sz w:val="26"/>
          <w:szCs w:val="26"/>
        </w:rPr>
        <w:t xml:space="preserve"> ГОДОВ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spacing w:after="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70"/>
        <w:jc w:val="center"/>
        <w:rPr>
          <w:rFonts w:ascii="PT Astra Serif" w:hAnsi="PT Astra Serif"/>
          <w:sz w:val="26"/>
          <w:szCs w:val="26"/>
        </w:rPr>
        <w:outlineLvl w:val="1"/>
      </w:pPr>
      <w:r>
        <w:rPr>
          <w:rFonts w:ascii="PT Astra Serif" w:hAnsi="PT Astra Serif"/>
          <w:sz w:val="26"/>
          <w:szCs w:val="26"/>
        </w:rPr>
        <w:t xml:space="preserve">I. Основные направления реализации государственной политики</w:t>
      </w:r>
      <w:r>
        <w:rPr>
          <w:rFonts w:ascii="PT Astra Serif" w:hAnsi="PT Astra Serif"/>
          <w:sz w:val="26"/>
          <w:szCs w:val="26"/>
        </w:rPr>
      </w:r>
    </w:p>
    <w:p>
      <w:pPr>
        <w:pStyle w:val="67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сфере приватизации государственного имущества Республики</w:t>
      </w:r>
      <w:r>
        <w:rPr>
          <w:rFonts w:ascii="PT Astra Serif" w:hAnsi="PT Astra Serif"/>
          <w:sz w:val="26"/>
          <w:szCs w:val="26"/>
        </w:rPr>
      </w:r>
    </w:p>
    <w:p>
      <w:pPr>
        <w:pStyle w:val="67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Алтай на 2027 год и плановый период 2028 и 2029 годов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Прогнозный план (программа) приватизации государственного имущества Республики Алтай на 2027 год и плановый период 2028 и 2029 годов разработан в соответствии с Федеральным законом от 21 декабря 2001 г. № 178-ФЗ </w:t>
      </w:r>
      <w:r>
        <w:rPr>
          <w:rFonts w:ascii="PT Astra Serif" w:hAnsi="PT Astra Serif"/>
          <w:sz w:val="26"/>
          <w:szCs w:val="26"/>
        </w:rPr>
        <w:br/>
        <w:t xml:space="preserve">«О приватизации государственного и муниципального имущества», Законом Республики Алтай от 05 мая 2011 г. № 17-РЗ «Об управлении государственной собственностью Республики Алтай».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Основной целью реализации прогнозного плана (пр</w:t>
      </w:r>
      <w:r>
        <w:rPr>
          <w:rFonts w:ascii="PT Astra Serif" w:hAnsi="PT Astra Serif"/>
          <w:sz w:val="26"/>
          <w:szCs w:val="26"/>
        </w:rPr>
        <w:t xml:space="preserve">ограммы) приватизации государственного имущества Республики Алтай на 2027 год и плановый период 2028 и 2029 годов является повышение эффективности управления государственной собственностью Республики Алтай и обеспечение планомерности процесса приватизации.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Задачами государственной политики Республики Алтай в сфере приватизации государственного имущества Республики Алтай в 2027 году и плановом периоде 2028 и 2029 годов являются: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исполнение федерального законодательства и законодательства Республики Алтай в сфере приватизации государственного имущества;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продолжение структурных преобразований в экономике Республики Алтай;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приватизация государственного имущества Республики Алтай, которое не обеспечивает выполнение государственных функций и полномочий Республики Алтай, как субъекта Российской Федерации;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формирование доходов республиканского бюджета Республики Алтай.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 На 1 января 2026 года Республика Алтай является собственником имущества одного государственного унитарного предприятия, акционером двух акционерных обществ и двух обществ с ограниченной ответственностью.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размеру государственного пакета акций в уставном капитале акционерного общества пакеты акций распределены следующим образом:</w:t>
      </w:r>
      <w:r>
        <w:rPr>
          <w:rFonts w:ascii="PT Astra Serif" w:hAnsi="PT Astra Serif"/>
          <w:sz w:val="26"/>
          <w:szCs w:val="26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4"/>
        <w:gridCol w:w="2835"/>
        <w:gridCol w:w="283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669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N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Доля акций акционерных обществ (процент уставного капитала), находящаяся в собственности Республики Алтай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Количество акционерных обществ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669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1.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100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2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669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2.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Менее 100 более 50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0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669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3.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Менее 50 более 25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0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4" w:type="dxa"/>
            <w:textDirection w:val="lrTb"/>
            <w:noWrap w:val="false"/>
          </w:tcPr>
          <w:p>
            <w:pPr>
              <w:pStyle w:val="669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4.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both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Менее 25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9"/>
              <w:jc w:val="center"/>
              <w:rPr>
                <w:rFonts w:ascii="PT Astra Serif" w:hAnsi="PT Astra Serif"/>
                <w:sz w:val="26"/>
                <w:szCs w:val="26"/>
                <w:lang w:eastAsia="en-US"/>
              </w:rPr>
            </w:pPr>
            <w:r>
              <w:rPr>
                <w:rFonts w:ascii="PT Astra Serif" w:hAnsi="PT Astra Serif"/>
                <w:sz w:val="26"/>
                <w:szCs w:val="26"/>
                <w:lang w:eastAsia="en-US"/>
              </w:rPr>
              <w:t xml:space="preserve">0</w:t>
            </w:r>
            <w:r>
              <w:rPr>
                <w:rFonts w:ascii="PT Astra Serif" w:hAnsi="PT Astra Serif"/>
                <w:sz w:val="26"/>
                <w:szCs w:val="26"/>
                <w:lang w:eastAsia="en-US"/>
              </w:rPr>
            </w:r>
          </w:p>
        </w:tc>
      </w:tr>
    </w:tbl>
    <w:p>
      <w:pPr>
        <w:pStyle w:val="66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70"/>
        <w:jc w:val="center"/>
        <w:rPr>
          <w:rFonts w:ascii="PT Astra Serif" w:hAnsi="PT Astra Serif"/>
          <w:sz w:val="26"/>
          <w:szCs w:val="26"/>
        </w:rPr>
        <w:outlineLvl w:val="1"/>
      </w:pPr>
      <w:r>
        <w:rPr>
          <w:rFonts w:ascii="PT Astra Serif" w:hAnsi="PT Astra Serif"/>
          <w:sz w:val="26"/>
          <w:szCs w:val="26"/>
        </w:rPr>
        <w:t xml:space="preserve">II. Приватизация государственного имущества Республики Алтай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Arial"/>
          <w:b/>
          <w:sz w:val="26"/>
          <w:szCs w:val="26"/>
        </w:rPr>
        <w:t xml:space="preserve">на 2027 год и плановый период 2028 и 2029 годов</w:t>
      </w:r>
      <w:r>
        <w:rPr>
          <w:rFonts w:ascii="PT Astra Serif" w:hAnsi="PT Astra Serif"/>
          <w:sz w:val="26"/>
          <w:szCs w:val="26"/>
        </w:rPr>
      </w:r>
    </w:p>
    <w:p>
      <w:pPr>
        <w:pStyle w:val="66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r>
        <w:rPr>
          <w:rFonts w:ascii="PT Astra Serif" w:hAnsi="PT Astra Serif"/>
          <w:sz w:val="26"/>
          <w:szCs w:val="26"/>
        </w:rPr>
      </w:r>
    </w:p>
    <w:p>
      <w:pPr>
        <w:pStyle w:val="671"/>
        <w:ind w:left="0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 </w:t>
      </w:r>
      <w:r>
        <w:rPr>
          <w:rFonts w:ascii="PT Astra Serif" w:hAnsi="PT Astra Serif" w:cs="PT Astra Serif"/>
          <w:sz w:val="26"/>
          <w:szCs w:val="26"/>
        </w:rPr>
        <w:t xml:space="preserve">Приватизации  в  2027 году  и  плановом  периоде 2028 и 2029  годов подлежит  государственное имущество  Республики Алтай,  включенное  </w:t>
      </w:r>
      <w:r>
        <w:rPr>
          <w:rFonts w:ascii="PT Astra Serif" w:hAnsi="PT Astra Serif" w:cs="PT Astra Serif"/>
          <w:sz w:val="26"/>
          <w:szCs w:val="26"/>
        </w:rPr>
        <w:br/>
        <w:t xml:space="preserve">в прогнозный план (программу) приватизации государствен</w:t>
      </w:r>
      <w:r>
        <w:rPr>
          <w:rFonts w:ascii="PT Astra Serif" w:hAnsi="PT Astra Serif" w:cs="PT Astra Serif"/>
          <w:sz w:val="26"/>
          <w:szCs w:val="26"/>
        </w:rPr>
        <w:t xml:space="preserve">ного имущества Республики Алтай  на  2026  год  и  плановый период 2027 и 2028 годов,    утвержденный    постановлением Правительства Республики Алтай от 21 октября 2025 г. № 269, приватизация которого не осуществлена по причинам отсутствия на него спроса.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71"/>
        <w:ind w:left="0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6. Начал</w:t>
      </w:r>
      <w:r>
        <w:rPr>
          <w:rFonts w:ascii="PT Astra Serif" w:hAnsi="PT Astra Serif" w:cs="PT Astra Serif"/>
          <w:sz w:val="26"/>
          <w:szCs w:val="26"/>
        </w:rPr>
        <w:t xml:space="preserve">ьная  цена  государственного  имущества  Республики  Алтай, подлежащего  приватизации,  устанавливается в соответствии  с Федеральным законом  от 29 июля 1998 г. № 135-ФЗ  «Об  оценочной  деятельности  в  Российской Федерации»,  при условии, что со дня сос</w:t>
      </w:r>
      <w:r>
        <w:rPr>
          <w:rFonts w:ascii="PT Astra Serif" w:hAnsi="PT Astra Serif" w:cs="PT Astra Serif"/>
          <w:sz w:val="26"/>
          <w:szCs w:val="26"/>
        </w:rPr>
        <w:t xml:space="preserve">тавления отчета об оценке государственного имущества Республики Алтай до  дня  размещения на  официальном  сайте  в сети  «Интернет»  информационного  сообщения  о продаже этого государственного имущества Республики Алтай прошло не более чем шесть месяцев.</w:t>
      </w:r>
      <w:r>
        <w:rPr>
          <w:rFonts w:ascii="PT Astra Serif" w:hAnsi="PT Astra Serif" w:cs="PT Astra Serif"/>
          <w:sz w:val="26"/>
          <w:szCs w:val="26"/>
        </w:rPr>
      </w:r>
    </w:p>
    <w:p>
      <w:pPr>
        <w:pStyle w:val="671"/>
        <w:ind w:left="0"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t xml:space="preserve">7. Прогноз объема поступлен</w:t>
      </w:r>
      <w:r>
        <w:rPr>
          <w:rFonts w:ascii="PT Astra Serif" w:hAnsi="PT Astra Serif" w:cs="PT Astra Serif"/>
          <w:sz w:val="26"/>
          <w:szCs w:val="26"/>
        </w:rPr>
        <w:t xml:space="preserve">ий в республиканский бюджет Республики Алтай на 2027 год и плановый период 2028 и 2029 годов доходов от продажи государственного имущества Республики Алтай формируется после определения его рыночной стоимости в соответствии с федеральным законодательством.</w:t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567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Arial">
    <w:panose1 w:val="020B060402020202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5"/>
    <w:next w:val="655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56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5"/>
    <w:next w:val="655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56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5"/>
    <w:next w:val="655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56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5"/>
    <w:next w:val="655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56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5"/>
    <w:next w:val="655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56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5"/>
    <w:next w:val="655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56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5"/>
    <w:next w:val="655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56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5"/>
    <w:next w:val="655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56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5"/>
    <w:next w:val="655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56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5"/>
    <w:next w:val="655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56"/>
    <w:link w:val="35"/>
    <w:uiPriority w:val="10"/>
    <w:rPr>
      <w:sz w:val="48"/>
      <w:szCs w:val="48"/>
    </w:rPr>
  </w:style>
  <w:style w:type="paragraph" w:styleId="37">
    <w:name w:val="Subtitle"/>
    <w:basedOn w:val="655"/>
    <w:next w:val="655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56"/>
    <w:link w:val="37"/>
    <w:uiPriority w:val="11"/>
    <w:rPr>
      <w:sz w:val="24"/>
      <w:szCs w:val="24"/>
    </w:rPr>
  </w:style>
  <w:style w:type="paragraph" w:styleId="39">
    <w:name w:val="Quote"/>
    <w:basedOn w:val="655"/>
    <w:next w:val="655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5"/>
    <w:next w:val="655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56"/>
    <w:link w:val="665"/>
    <w:uiPriority w:val="99"/>
  </w:style>
  <w:style w:type="character" w:styleId="46">
    <w:name w:val="Footer Char"/>
    <w:basedOn w:val="656"/>
    <w:link w:val="667"/>
    <w:uiPriority w:val="99"/>
  </w:style>
  <w:style w:type="paragraph" w:styleId="47">
    <w:name w:val="Caption"/>
    <w:basedOn w:val="655"/>
    <w:next w:val="655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56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55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56"/>
    <w:uiPriority w:val="99"/>
    <w:unhideWhenUsed/>
    <w:rPr>
      <w:vertAlign w:val="superscript"/>
    </w:rPr>
  </w:style>
  <w:style w:type="paragraph" w:styleId="179">
    <w:name w:val="endnote text"/>
    <w:basedOn w:val="655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56"/>
    <w:uiPriority w:val="99"/>
    <w:semiHidden/>
    <w:unhideWhenUsed/>
    <w:rPr>
      <w:vertAlign w:val="superscript"/>
    </w:rPr>
  </w:style>
  <w:style w:type="paragraph" w:styleId="182">
    <w:name w:val="toc 1"/>
    <w:basedOn w:val="655"/>
    <w:next w:val="655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5"/>
    <w:next w:val="655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5"/>
    <w:next w:val="655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5"/>
    <w:next w:val="655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5"/>
    <w:next w:val="655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5"/>
    <w:next w:val="655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5"/>
    <w:next w:val="655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5"/>
    <w:next w:val="655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5"/>
    <w:next w:val="655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5"/>
    <w:next w:val="655"/>
    <w:uiPriority w:val="99"/>
    <w:unhideWhenUsed/>
    <w:pPr>
      <w:spacing w:after="0" w:afterAutospacing="0"/>
    </w:pPr>
  </w:style>
  <w:style w:type="paragraph" w:styleId="655" w:default="1">
    <w:name w:val="Normal"/>
    <w:qFormat/>
  </w:style>
  <w:style w:type="character" w:styleId="656" w:default="1">
    <w:name w:val="Default Paragraph Font"/>
    <w:uiPriority w:val="1"/>
    <w:semiHidden/>
    <w:unhideWhenUsed/>
  </w:style>
  <w:style w:type="table" w:styleId="6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8" w:default="1">
    <w:name w:val="No List"/>
    <w:uiPriority w:val="99"/>
    <w:semiHidden/>
    <w:unhideWhenUsed/>
  </w:style>
  <w:style w:type="table" w:styleId="659">
    <w:name w:val="Table Grid"/>
    <w:basedOn w:val="65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60">
    <w:name w:val="Hyperlink"/>
    <w:basedOn w:val="656"/>
    <w:uiPriority w:val="99"/>
    <w:unhideWhenUsed/>
    <w:rPr>
      <w:color w:val="0000ff" w:themeColor="hyperlink"/>
      <w:u w:val="single"/>
    </w:rPr>
  </w:style>
  <w:style w:type="table" w:styleId="661" w:customStyle="1">
    <w:name w:val="Сетка таблицы1"/>
    <w:basedOn w:val="657"/>
    <w:next w:val="659"/>
    <w:uiPriority w:val="59"/>
    <w:pPr>
      <w:jc w:val="left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2" w:customStyle="1">
    <w:name w:val="Default"/>
    <w:pPr>
      <w:jc w:val="left"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663">
    <w:name w:val="Balloon Text"/>
    <w:basedOn w:val="655"/>
    <w:link w:val="664"/>
    <w:uiPriority w:val="99"/>
    <w:semiHidden/>
    <w:unhideWhenUsed/>
    <w:rPr>
      <w:rFonts w:ascii="Tahoma" w:hAnsi="Tahoma" w:cs="Tahoma"/>
      <w:sz w:val="16"/>
      <w:szCs w:val="16"/>
    </w:rPr>
  </w:style>
  <w:style w:type="character" w:styleId="664" w:customStyle="1">
    <w:name w:val="Текст выноски Знак"/>
    <w:basedOn w:val="656"/>
    <w:link w:val="663"/>
    <w:uiPriority w:val="99"/>
    <w:semiHidden/>
    <w:rPr>
      <w:rFonts w:ascii="Tahoma" w:hAnsi="Tahoma" w:cs="Tahoma"/>
      <w:sz w:val="16"/>
      <w:szCs w:val="16"/>
    </w:rPr>
  </w:style>
  <w:style w:type="paragraph" w:styleId="665">
    <w:name w:val="Header"/>
    <w:basedOn w:val="655"/>
    <w:link w:val="66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6" w:customStyle="1">
    <w:name w:val="Верхний колонтитул Знак"/>
    <w:basedOn w:val="656"/>
    <w:link w:val="665"/>
    <w:uiPriority w:val="99"/>
    <w:semiHidden/>
  </w:style>
  <w:style w:type="paragraph" w:styleId="667">
    <w:name w:val="Footer"/>
    <w:basedOn w:val="655"/>
    <w:link w:val="668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668" w:customStyle="1">
    <w:name w:val="Нижний колонтитул Знак"/>
    <w:basedOn w:val="656"/>
    <w:link w:val="667"/>
    <w:uiPriority w:val="99"/>
    <w:semiHidden/>
  </w:style>
  <w:style w:type="paragraph" w:styleId="669" w:customStyle="1">
    <w:name w:val="ConsPlusNormal"/>
    <w:pPr>
      <w:jc w:val="left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670" w:customStyle="1">
    <w:name w:val="ConsPlusTitle"/>
    <w:pPr>
      <w:jc w:val="left"/>
      <w:widowControl w:val="off"/>
    </w:pPr>
    <w:rPr>
      <w:rFonts w:ascii="Arial" w:hAnsi="Arial" w:eastAsia="Times New Roman" w:cs="Arial"/>
      <w:b/>
      <w:sz w:val="24"/>
      <w:szCs w:val="20"/>
      <w:lang w:eastAsia="ru-RU"/>
    </w:rPr>
  </w:style>
  <w:style w:type="paragraph" w:styleId="671">
    <w:name w:val="List Paragraph"/>
    <w:basedOn w:val="655"/>
    <w:uiPriority w:val="99"/>
    <w:qFormat/>
    <w:pPr>
      <w:contextualSpacing/>
      <w:ind w:left="720"/>
      <w:jc w:val="left"/>
      <w:widowControl w:val="off"/>
    </w:pPr>
    <w:rPr>
      <w:rFonts w:ascii="Calibri" w:hAnsi="Calibri" w:eastAsia="Times New Roman" w:cs="Calibri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Маташев Владимир Алексеевич</cp:lastModifiedBy>
  <cp:revision>3</cp:revision>
  <dcterms:created xsi:type="dcterms:W3CDTF">2026-08-31T09:19:00Z</dcterms:created>
  <dcterms:modified xsi:type="dcterms:W3CDTF">2026-08-31T09:27:42Z</dcterms:modified>
</cp:coreProperties>
</file>