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63D3D" w14:textId="499C53D2" w:rsidR="003013AE" w:rsidRPr="006E4160" w:rsidRDefault="00A10CBE" w:rsidP="007B0970">
      <w:pPr>
        <w:spacing w:after="0"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A34394">
        <w:rPr>
          <w:rFonts w:ascii="Times New Roman" w:eastAsiaTheme="minorEastAsia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989" w:rsidRPr="00A34394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="00AF545A" w:rsidRPr="006E4160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r w:rsidR="003013AE" w:rsidRPr="006E4160">
        <w:rPr>
          <w:rFonts w:ascii="Times New Roman" w:eastAsiaTheme="minorEastAsia" w:hAnsi="Times New Roman"/>
          <w:sz w:val="24"/>
          <w:szCs w:val="24"/>
          <w:lang w:eastAsia="zh-CN"/>
        </w:rPr>
        <w:t>Проект</w:t>
      </w:r>
    </w:p>
    <w:p w14:paraId="7958408C" w14:textId="77777777" w:rsidR="003013AE" w:rsidRPr="006E4160" w:rsidRDefault="003013AE" w:rsidP="006F3509">
      <w:pPr>
        <w:spacing w:after="0"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zh-CN"/>
        </w:rPr>
      </w:pPr>
    </w:p>
    <w:p w14:paraId="49B13092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6E4160">
        <w:rPr>
          <w:rFonts w:ascii="Times New Roman" w:eastAsiaTheme="minorEastAsia" w:hAnsi="Times New Roman"/>
          <w:b/>
          <w:sz w:val="28"/>
          <w:szCs w:val="28"/>
          <w:lang w:eastAsia="zh-CN"/>
        </w:rPr>
        <w:t>ПРАВИТЕЛЬСТВО РЕСПУБЛИКИ АЛТАЙ</w:t>
      </w:r>
    </w:p>
    <w:p w14:paraId="2DA138AB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1D07B39E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6E4160">
        <w:rPr>
          <w:rFonts w:ascii="Times New Roman" w:eastAsiaTheme="minorEastAsia" w:hAnsi="Times New Roman"/>
          <w:b/>
          <w:sz w:val="28"/>
          <w:szCs w:val="28"/>
          <w:lang w:eastAsia="zh-CN"/>
        </w:rPr>
        <w:t>ПОСТАНОВЛЕНИЕ</w:t>
      </w:r>
    </w:p>
    <w:p w14:paraId="4B82706A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661F7F4D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6E4160">
        <w:rPr>
          <w:rFonts w:ascii="Times New Roman" w:eastAsiaTheme="minorEastAsia" w:hAnsi="Times New Roman"/>
          <w:sz w:val="28"/>
          <w:szCs w:val="28"/>
          <w:lang w:eastAsia="zh-CN"/>
        </w:rPr>
        <w:t>«___» ________ 202</w:t>
      </w:r>
      <w:r w:rsidR="003B585E" w:rsidRPr="006E4160">
        <w:rPr>
          <w:rFonts w:ascii="Times New Roman" w:eastAsiaTheme="minorEastAsia" w:hAnsi="Times New Roman"/>
          <w:sz w:val="28"/>
          <w:szCs w:val="28"/>
          <w:lang w:eastAsia="zh-CN"/>
        </w:rPr>
        <w:t>5</w:t>
      </w:r>
      <w:r w:rsidRPr="006E4160">
        <w:rPr>
          <w:rFonts w:ascii="Times New Roman" w:eastAsiaTheme="minorEastAsia" w:hAnsi="Times New Roman"/>
          <w:sz w:val="28"/>
          <w:szCs w:val="28"/>
          <w:lang w:eastAsia="zh-CN"/>
        </w:rPr>
        <w:t xml:space="preserve"> г. №____</w:t>
      </w:r>
    </w:p>
    <w:p w14:paraId="6163A348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</w:p>
    <w:p w14:paraId="467BFA17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6E4160">
        <w:rPr>
          <w:rFonts w:ascii="Times New Roman" w:eastAsiaTheme="minorEastAsia" w:hAnsi="Times New Roman"/>
          <w:sz w:val="28"/>
          <w:szCs w:val="28"/>
          <w:lang w:eastAsia="zh-CN"/>
        </w:rPr>
        <w:t>г. Горно-Алтайск</w:t>
      </w:r>
    </w:p>
    <w:p w14:paraId="1D3624A4" w14:textId="77777777" w:rsidR="003013AE" w:rsidRPr="006E4160" w:rsidRDefault="003013AE" w:rsidP="006F3509">
      <w:pPr>
        <w:adjustRightInd w:val="0"/>
        <w:snapToGrid w:val="0"/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bookmarkStart w:id="0" w:name="OLE_LINK1"/>
    </w:p>
    <w:p w14:paraId="41286AB7" w14:textId="77777777" w:rsidR="007B0970" w:rsidRPr="006E4160" w:rsidRDefault="007B0970" w:rsidP="006F3509">
      <w:pPr>
        <w:adjustRightInd w:val="0"/>
        <w:snapToGrid w:val="0"/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</w:p>
    <w:bookmarkEnd w:id="0"/>
    <w:p w14:paraId="242AFD14" w14:textId="21401725" w:rsidR="00955B49" w:rsidRPr="006E4160" w:rsidRDefault="00955B49" w:rsidP="00955B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4160">
        <w:rPr>
          <w:rFonts w:ascii="Times New Roman" w:hAnsi="Times New Roman"/>
          <w:b/>
          <w:sz w:val="28"/>
          <w:szCs w:val="28"/>
        </w:rPr>
        <w:t>Об утверждении Порядка формирования механизма обратной связи с субъектами инвестиционной и предпринимательской деятельности в Республике Алтай</w:t>
      </w:r>
    </w:p>
    <w:p w14:paraId="07D30C4E" w14:textId="77777777" w:rsidR="00955B49" w:rsidRPr="006E4160" w:rsidRDefault="00955B49" w:rsidP="006F35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024717" w14:textId="1FF25A07" w:rsidR="00955B49" w:rsidRPr="006E4160" w:rsidRDefault="00955B49" w:rsidP="00122B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4160">
        <w:rPr>
          <w:rFonts w:ascii="Times New Roman" w:hAnsi="Times New Roman"/>
          <w:sz w:val="28"/>
          <w:szCs w:val="28"/>
        </w:rPr>
        <w:t>В соответствии с приказом Министерства экономического развития Российской Федерации от 30 сентября 2021 г. № 591 «О системе поддержки новых инвестиционных проектов в субъектах Российской Федерации («Региональный инвестиционный стандарт»)» Правительство Республики Алтай</w:t>
      </w:r>
      <w:r w:rsidRPr="006E4160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E4160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6E4160">
        <w:rPr>
          <w:rFonts w:ascii="Times New Roman" w:hAnsi="Times New Roman"/>
          <w:b/>
          <w:sz w:val="28"/>
          <w:szCs w:val="28"/>
        </w:rPr>
        <w:t>:</w:t>
      </w:r>
    </w:p>
    <w:p w14:paraId="795BCAF7" w14:textId="4906C76C" w:rsidR="00955B49" w:rsidRPr="006E4160" w:rsidRDefault="003079FB" w:rsidP="0030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прилагаемый </w:t>
      </w:r>
      <w:hyperlink w:anchor="P28" w:tooltip="ПОРЯДОК">
        <w:r w:rsidR="00955B49" w:rsidRPr="006E4160">
          <w:rPr>
            <w:rFonts w:ascii="Times New Roman" w:hAnsi="Times New Roman" w:cs="Times New Roman"/>
            <w:sz w:val="28"/>
            <w:szCs w:val="28"/>
            <w:lang w:eastAsia="en-US"/>
          </w:rPr>
          <w:t>Порядок</w:t>
        </w:r>
      </w:hyperlink>
      <w:r w:rsidR="00955B49" w:rsidRPr="006E4160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механизма обратной связи с субъектами инвестиционной и пре</w:t>
      </w:r>
      <w:r w:rsidR="003630C1">
        <w:rPr>
          <w:rFonts w:ascii="Times New Roman" w:hAnsi="Times New Roman" w:cs="Times New Roman"/>
          <w:sz w:val="28"/>
          <w:szCs w:val="28"/>
          <w:lang w:eastAsia="en-US"/>
        </w:rPr>
        <w:t>дпринимательской деятельности в</w:t>
      </w:r>
      <w:r w:rsidR="00955B49" w:rsidRPr="006E4160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</w:t>
      </w:r>
      <w:r w:rsidR="003630C1">
        <w:rPr>
          <w:rFonts w:ascii="Times New Roman" w:hAnsi="Times New Roman" w:cs="Times New Roman"/>
          <w:sz w:val="28"/>
          <w:szCs w:val="28"/>
          <w:lang w:eastAsia="en-US"/>
        </w:rPr>
        <w:t xml:space="preserve">е </w:t>
      </w:r>
      <w:r w:rsidR="00955B49" w:rsidRPr="006E4160">
        <w:rPr>
          <w:rFonts w:ascii="Times New Roman" w:hAnsi="Times New Roman" w:cs="Times New Roman"/>
          <w:sz w:val="28"/>
          <w:szCs w:val="28"/>
          <w:lang w:eastAsia="en-US"/>
        </w:rPr>
        <w:t>Алтай.</w:t>
      </w:r>
    </w:p>
    <w:p w14:paraId="543CB0CA" w14:textId="77777777" w:rsidR="005F0471" w:rsidRDefault="005F0471" w:rsidP="005F0471">
      <w:pPr>
        <w:pStyle w:val="ConsPlusNormal"/>
        <w:jc w:val="both"/>
      </w:pPr>
    </w:p>
    <w:p w14:paraId="0CDD700A" w14:textId="52F27E82" w:rsidR="008242A6" w:rsidRPr="006E4160" w:rsidRDefault="0075570C" w:rsidP="0075570C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6E4160">
        <w:rPr>
          <w:rFonts w:ascii="Times New Roman" w:hAnsi="Times New Roman"/>
          <w:sz w:val="28"/>
          <w:szCs w:val="28"/>
        </w:rPr>
        <w:t xml:space="preserve"> </w:t>
      </w:r>
    </w:p>
    <w:p w14:paraId="261FD613" w14:textId="77777777" w:rsidR="008242A6" w:rsidRPr="006E4160" w:rsidRDefault="008242A6" w:rsidP="008242A6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E4160" w:rsidRPr="006E4160" w14:paraId="5803F7FB" w14:textId="77777777" w:rsidTr="00925FE1">
        <w:tc>
          <w:tcPr>
            <w:tcW w:w="4077" w:type="dxa"/>
          </w:tcPr>
          <w:p w14:paraId="1F057D1B" w14:textId="0944E5E4" w:rsidR="006E4160" w:rsidRPr="006E4160" w:rsidRDefault="006E4160" w:rsidP="006E4160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E4160">
              <w:rPr>
                <w:rFonts w:ascii="Times New Roman" w:hAnsi="Times New Roman"/>
                <w:sz w:val="28"/>
                <w:szCs w:val="28"/>
                <w:lang w:eastAsia="zh-CN"/>
              </w:rPr>
              <w:t>Глава Республики Алтай</w:t>
            </w:r>
          </w:p>
          <w:p w14:paraId="309D3D57" w14:textId="503BD95E" w:rsidR="006E4160" w:rsidRPr="006E4160" w:rsidRDefault="006E4160" w:rsidP="006E4160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87" w:type="dxa"/>
          </w:tcPr>
          <w:p w14:paraId="1B4705DA" w14:textId="72B1DCCA" w:rsidR="006E4160" w:rsidRPr="006E4160" w:rsidRDefault="0036383A" w:rsidP="0036383A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E416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6E4160">
              <w:rPr>
                <w:rFonts w:ascii="Times New Roman" w:hAnsi="Times New Roman"/>
                <w:sz w:val="28"/>
                <w:szCs w:val="28"/>
                <w:lang w:eastAsia="zh-CN"/>
              </w:rPr>
              <w:t>Турчак</w:t>
            </w:r>
            <w:proofErr w:type="spellEnd"/>
          </w:p>
          <w:p w14:paraId="0EB84E78" w14:textId="77777777" w:rsidR="006E4160" w:rsidRPr="006E4160" w:rsidRDefault="006E4160" w:rsidP="006E4160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4FA71601" w14:textId="296F3478" w:rsidR="006E4160" w:rsidRPr="006E4160" w:rsidRDefault="006E4160" w:rsidP="0036383A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E416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2E645159" w14:textId="77777777" w:rsidR="00EA1808" w:rsidRPr="006E4160" w:rsidRDefault="00EA1808" w:rsidP="006E416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99190E2" w14:textId="77777777" w:rsidR="008242A6" w:rsidRPr="006E4160" w:rsidRDefault="008242A6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407007DE" w14:textId="77777777" w:rsidR="00B95FCD" w:rsidRPr="006E4160" w:rsidRDefault="00B95FCD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4EA9A5B" w14:textId="77777777" w:rsidR="00B95FCD" w:rsidRPr="006E4160" w:rsidRDefault="00B95FCD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7304C34" w14:textId="77777777" w:rsidR="00B95FCD" w:rsidRPr="006E4160" w:rsidRDefault="00B95FCD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72E85B1A" w14:textId="77777777" w:rsidR="00B95FCD" w:rsidRPr="006E4160" w:rsidRDefault="00B95FCD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6FBEA15" w14:textId="692B9288" w:rsidR="00B95FCD" w:rsidRPr="006E4160" w:rsidRDefault="00B95FCD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47A1507C" w14:textId="1299802A" w:rsidR="00955B49" w:rsidRPr="006E4160" w:rsidRDefault="00955B4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5D679F1" w14:textId="3BEC2C99" w:rsidR="00955B49" w:rsidRDefault="00955B4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6E77CE95" w14:textId="217D19C5" w:rsidR="0075570C" w:rsidRDefault="0075570C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75266FE" w14:textId="295D5109" w:rsidR="00122BE9" w:rsidRDefault="00122BE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7BFA8AD3" w14:textId="17F6AE3F" w:rsidR="00122BE9" w:rsidRDefault="00122BE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171FF433" w14:textId="4C29C866" w:rsidR="00122BE9" w:rsidRDefault="00122BE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79F9BE87" w14:textId="77777777" w:rsidR="00122BE9" w:rsidRPr="006E4160" w:rsidRDefault="00122BE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0F78617C" w14:textId="1840884C" w:rsidR="00955B49" w:rsidRPr="006E4160" w:rsidRDefault="00955B4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7EB99290" w14:textId="30389F0A" w:rsidR="00955B49" w:rsidRPr="006E4160" w:rsidRDefault="00955B4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073A1EE0" w14:textId="5BBF1B7D" w:rsidR="00955B49" w:rsidRPr="006E4160" w:rsidRDefault="00955B4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3D327750" w14:textId="64E98B37" w:rsidR="006E4160" w:rsidRDefault="006E4160" w:rsidP="006E4160">
      <w:pPr>
        <w:spacing w:after="0" w:line="240" w:lineRule="auto"/>
        <w:ind w:firstLine="5670"/>
        <w:jc w:val="center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УТВЕРЖДЕН</w:t>
      </w:r>
    </w:p>
    <w:p w14:paraId="26BAC3AF" w14:textId="365C98BA" w:rsidR="006E4160" w:rsidRDefault="006E4160" w:rsidP="006E4160">
      <w:pPr>
        <w:spacing w:after="0" w:line="240" w:lineRule="auto"/>
        <w:ind w:firstLine="5670"/>
        <w:jc w:val="center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6E4160">
        <w:rPr>
          <w:rFonts w:ascii="Times New Roman" w:eastAsiaTheme="minorEastAsia" w:hAnsi="Times New Roman"/>
          <w:bCs/>
          <w:sz w:val="28"/>
          <w:szCs w:val="28"/>
          <w:lang w:eastAsia="zh-CN"/>
        </w:rPr>
        <w:t>постановлени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ем</w:t>
      </w:r>
      <w:r w:rsidRPr="006E416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Правительства</w:t>
      </w:r>
    </w:p>
    <w:p w14:paraId="123360CA" w14:textId="195BF30F" w:rsidR="006E4160" w:rsidRDefault="006E4160" w:rsidP="006E4160">
      <w:pPr>
        <w:spacing w:after="0" w:line="240" w:lineRule="auto"/>
        <w:ind w:firstLine="5670"/>
        <w:jc w:val="center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6E4160">
        <w:rPr>
          <w:rFonts w:ascii="Times New Roman" w:eastAsiaTheme="minorEastAsia" w:hAnsi="Times New Roman"/>
          <w:bCs/>
          <w:sz w:val="28"/>
          <w:szCs w:val="28"/>
          <w:lang w:eastAsia="zh-CN"/>
        </w:rPr>
        <w:t>Республики Алтай</w:t>
      </w:r>
    </w:p>
    <w:p w14:paraId="4D8E7961" w14:textId="778857F8" w:rsidR="00955B49" w:rsidRPr="006E4160" w:rsidRDefault="006E4160" w:rsidP="006E4160">
      <w:pPr>
        <w:spacing w:after="0" w:line="240" w:lineRule="auto"/>
        <w:ind w:firstLine="5670"/>
        <w:jc w:val="center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6E4160">
        <w:rPr>
          <w:rFonts w:ascii="Times New Roman" w:eastAsiaTheme="minorEastAsia" w:hAnsi="Times New Roman"/>
          <w:bCs/>
          <w:sz w:val="28"/>
          <w:szCs w:val="28"/>
          <w:lang w:eastAsia="zh-CN"/>
        </w:rPr>
        <w:t>от «___</w:t>
      </w:r>
      <w:proofErr w:type="gramStart"/>
      <w:r w:rsidRPr="006E4160">
        <w:rPr>
          <w:rFonts w:ascii="Times New Roman" w:eastAsiaTheme="minorEastAsia" w:hAnsi="Times New Roman"/>
          <w:bCs/>
          <w:sz w:val="28"/>
          <w:szCs w:val="28"/>
          <w:lang w:eastAsia="zh-CN"/>
        </w:rPr>
        <w:t>_»_</w:t>
      </w:r>
      <w:proofErr w:type="gramEnd"/>
      <w:r w:rsidRPr="006E4160">
        <w:rPr>
          <w:rFonts w:ascii="Times New Roman" w:eastAsiaTheme="minorEastAsia" w:hAnsi="Times New Roman"/>
          <w:bCs/>
          <w:sz w:val="28"/>
          <w:szCs w:val="28"/>
          <w:lang w:eastAsia="zh-CN"/>
        </w:rPr>
        <w:t>___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_________</w:t>
      </w:r>
      <w:r w:rsidRPr="006E4160">
        <w:rPr>
          <w:rFonts w:ascii="Times New Roman" w:eastAsiaTheme="minorEastAsia" w:hAnsi="Times New Roman"/>
          <w:bCs/>
          <w:sz w:val="28"/>
          <w:szCs w:val="28"/>
          <w:lang w:eastAsia="zh-CN"/>
        </w:rPr>
        <w:t>2025 г.</w:t>
      </w:r>
    </w:p>
    <w:p w14:paraId="311A04E0" w14:textId="56A4B137" w:rsidR="00955B49" w:rsidRPr="006E4160" w:rsidRDefault="00955B49" w:rsidP="005E1D2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1D96CE42" w14:textId="3D737A57" w:rsidR="00955B49" w:rsidRPr="006E4160" w:rsidRDefault="00955B4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4C8CA054" w14:textId="1DF592F7" w:rsidR="006E4160" w:rsidRPr="006E4160" w:rsidRDefault="00A752BE" w:rsidP="006F3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160">
        <w:rPr>
          <w:rFonts w:ascii="Times New Roman" w:hAnsi="Times New Roman"/>
          <w:b/>
          <w:sz w:val="28"/>
          <w:szCs w:val="28"/>
        </w:rPr>
        <w:t>ПОРЯДОК</w:t>
      </w:r>
    </w:p>
    <w:p w14:paraId="12293692" w14:textId="53B4722A" w:rsidR="00955B49" w:rsidRPr="006E4160" w:rsidRDefault="00955B49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6E4160">
        <w:rPr>
          <w:rFonts w:ascii="Times New Roman" w:hAnsi="Times New Roman"/>
          <w:b/>
          <w:sz w:val="28"/>
          <w:szCs w:val="28"/>
        </w:rPr>
        <w:t xml:space="preserve"> формирования механизма обратной связи с субъектами инвестиционной и предпринимательской деятельности в Республике Алтай</w:t>
      </w:r>
    </w:p>
    <w:p w14:paraId="2E5D9E5E" w14:textId="77777777" w:rsidR="00B95FCD" w:rsidRPr="006E4160" w:rsidRDefault="00B95FCD" w:rsidP="006E41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426D363D" w14:textId="1F345687" w:rsidR="006E4160" w:rsidRPr="000D53EA" w:rsidRDefault="00391413" w:rsidP="006E416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0D53EA">
        <w:rPr>
          <w:rFonts w:ascii="Times New Roman" w:eastAsiaTheme="minorEastAsia" w:hAnsi="Times New Roman"/>
          <w:b/>
          <w:bCs/>
          <w:sz w:val="28"/>
          <w:szCs w:val="28"/>
          <w:lang w:val="en-US" w:eastAsia="zh-CN"/>
        </w:rPr>
        <w:t>I</w:t>
      </w:r>
      <w:r w:rsidR="006E4160" w:rsidRPr="000D53E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. Общие положения</w:t>
      </w:r>
    </w:p>
    <w:p w14:paraId="72C6A3A4" w14:textId="77777777" w:rsidR="006E4160" w:rsidRPr="006E4160" w:rsidRDefault="006E4160" w:rsidP="006E41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422A87ED" w14:textId="1AE13207" w:rsidR="00205C1D" w:rsidRPr="00205C1D" w:rsidRDefault="006E4160" w:rsidP="00205C1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Настоящий Порядок разработан в </w:t>
      </w:r>
      <w:r w:rsidR="003079FB"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целях определения процедуры рассмотрения</w:t>
      </w:r>
      <w:r w:rsid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в Республике Алтай обращений субъектов инвестиционной и предпринимательской деятельности (далее –</w:t>
      </w:r>
      <w:r w:rsidR="00E24D85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заявители), поступающих через Платформу обратной связи </w:t>
      </w:r>
      <w:r w:rsidR="003079FB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3079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(далее –</w:t>
      </w:r>
      <w:r w:rsidR="00E24D85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0D53E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ПОС</w:t>
      </w:r>
      <w:r w:rsidR="003079F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), в </w:t>
      </w:r>
      <w:r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соответствии с Методическими рекомендациями по формированию и развитию механизма обратной связи с субъектами инвестиционной и предпринимательской деятельности в субъектах Российской Федерации, утвержденными приказом Министерства экономического развития Российской Федерации от 30 сентября 2021</w:t>
      </w:r>
      <w:r w:rsidR="00CE3F5A"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г. №</w:t>
      </w:r>
      <w:r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591 </w:t>
      </w:r>
      <w:r w:rsidR="00CE3F5A"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О системе поддержки новых инвестиционных проектов в субъектах Российской Федерации (</w:t>
      </w:r>
      <w:r w:rsidR="00703736"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Региональный инвестиционный стандарт</w:t>
      </w:r>
      <w:r w:rsidR="00703736"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)</w:t>
      </w:r>
      <w:r w:rsidR="00703736"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(далее – Методические рекомендации). </w:t>
      </w:r>
      <w:r w:rsidRPr="003079F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</w:p>
    <w:p w14:paraId="63CEF567" w14:textId="3F2DBB8C" w:rsidR="003079FB" w:rsidRDefault="003079FB" w:rsidP="00205C1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Настоящий порядок устанавливает:</w:t>
      </w:r>
    </w:p>
    <w:p w14:paraId="19F7A989" w14:textId="5A6B3DD8" w:rsidR="00244A0D" w:rsidRPr="0036383A" w:rsidRDefault="00244A0D" w:rsidP="000D53E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сроки и последовательность действий </w:t>
      </w:r>
      <w:r w:rsidRPr="00703736">
        <w:rPr>
          <w:rFonts w:ascii="Times New Roman" w:eastAsiaTheme="minorEastAsia" w:hAnsi="Times New Roman"/>
          <w:bCs/>
          <w:sz w:val="28"/>
          <w:szCs w:val="28"/>
          <w:lang w:eastAsia="zh-CN"/>
        </w:rPr>
        <w:t>территориальных органов федеральных органов исполнительной власти, исполнительных органов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государственной власти Республики Алтай</w:t>
      </w:r>
      <w:r w:rsidRPr="0070373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органов местного самоуправления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в Республике Алтай</w:t>
      </w:r>
      <w:r w:rsidRPr="0070373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</w:t>
      </w:r>
      <w:r w:rsidRPr="00122BE9">
        <w:rPr>
          <w:rFonts w:ascii="Times New Roman" w:eastAsiaTheme="minorEastAsia" w:hAnsi="Times New Roman"/>
          <w:bCs/>
          <w:sz w:val="28"/>
          <w:szCs w:val="28"/>
          <w:lang w:eastAsia="zh-CN"/>
        </w:rPr>
        <w:t>автономной некоммерческой организации «Центр поддержки предпринимательской и инвестиционной деятельности Республики Алтай «Мой бизнес»</w:t>
      </w:r>
      <w:r w:rsidR="00BA57B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(далее – Центр «Мой Бизнес»)</w:t>
      </w:r>
      <w:r w:rsidRPr="00122BE9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автономной некоммерческой </w:t>
      </w: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организации</w:t>
      </w:r>
      <w:r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«Корпорация развития Республики Алтай», </w:t>
      </w:r>
      <w:proofErr w:type="spellStart"/>
      <w:r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ресурсоснабжающих</w:t>
      </w:r>
      <w:proofErr w:type="spellEnd"/>
      <w:r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и иных организаций, ответственных в рамках своей компетенции за рассмотрение обращени</w:t>
      </w: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й</w:t>
      </w:r>
      <w:r w:rsidR="00DE446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DE446C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заявителей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, подготовку и направление ответов на них (далее – исполнители), в рамках механизма обратной связи с заявителями;</w:t>
      </w:r>
    </w:p>
    <w:p w14:paraId="3DB694A4" w14:textId="555FCAEB" w:rsidR="00244A0D" w:rsidRPr="0036383A" w:rsidRDefault="00244A0D" w:rsidP="000D53E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регламент функционирования единого центра обработки обращений</w:t>
      </w:r>
      <w:r w:rsidR="00DE446C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заявителей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(далее – единый центр);</w:t>
      </w:r>
    </w:p>
    <w:p w14:paraId="665A25E1" w14:textId="029575CE" w:rsidR="00244A0D" w:rsidRPr="0036383A" w:rsidRDefault="00244A0D" w:rsidP="000D53E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каналы обратной связи с заявителями;</w:t>
      </w:r>
    </w:p>
    <w:p w14:paraId="3AD51689" w14:textId="173215A0" w:rsidR="00244A0D" w:rsidRPr="0036383A" w:rsidRDefault="00244A0D" w:rsidP="000D53E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порядок и сроки рассмотрения обращений</w:t>
      </w:r>
      <w:r w:rsidR="00DE446C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заявителей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;</w:t>
      </w:r>
    </w:p>
    <w:p w14:paraId="636988DA" w14:textId="0E1E9897" w:rsidR="00244A0D" w:rsidRPr="0036383A" w:rsidRDefault="00244A0D" w:rsidP="000D53E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способы и формы выявления удовлетворенности заявителей полученными ответами на обращения</w:t>
      </w:r>
      <w:r w:rsidR="00DE446C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заявителей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;</w:t>
      </w:r>
    </w:p>
    <w:p w14:paraId="088743BF" w14:textId="32E541B1" w:rsidR="00244A0D" w:rsidRPr="0036383A" w:rsidRDefault="00244A0D" w:rsidP="000D53E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форму отчета об обращениях</w:t>
      </w:r>
      <w:r w:rsidR="00DE446C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заявителей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.</w:t>
      </w:r>
    </w:p>
    <w:p w14:paraId="6D6BC599" w14:textId="38742277" w:rsidR="00244A0D" w:rsidRPr="0036383A" w:rsidRDefault="00205C1D" w:rsidP="00A03BED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В </w:t>
      </w:r>
      <w:r w:rsidR="000D53E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целях 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настояще</w:t>
      </w:r>
      <w:r w:rsidR="000D53E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го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Порядк</w:t>
      </w:r>
      <w:r w:rsidR="000D53E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а применяются следующие термины и понятия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:</w:t>
      </w:r>
    </w:p>
    <w:p w14:paraId="28B2CCC1" w14:textId="7B9AAA29" w:rsidR="007514AE" w:rsidRPr="0036383A" w:rsidRDefault="007514AE" w:rsidP="000D53E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 xml:space="preserve">единый центр </w:t>
      </w: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- автономная некоммерческая организация «Центр поддержки предпринимательской и инвестиционной деятельности Республики Алтай «Мой бизнес», выполняющая на регулярной основе функции, предусмотренные настоящим Порядком;</w:t>
      </w:r>
    </w:p>
    <w:p w14:paraId="68D8F529" w14:textId="21DA9499" w:rsidR="00E24D85" w:rsidRPr="0036383A" w:rsidRDefault="00855E7E" w:rsidP="00E24D85">
      <w:pPr>
        <w:pStyle w:val="ConsPlusNormal"/>
        <w:ind w:firstLine="709"/>
        <w:jc w:val="both"/>
        <w:rPr>
          <w:rFonts w:ascii="Times New Roman" w:eastAsiaTheme="minorEastAsia" w:hAnsi="Times New Roman"/>
          <w:strike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 xml:space="preserve">обращения </w:t>
      </w:r>
      <w:r w:rsidR="00DE446C"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 xml:space="preserve">заявителей </w:t>
      </w:r>
      <w:r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>– сообщения,</w:t>
      </w:r>
      <w:r w:rsidR="00205C1D"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 xml:space="preserve"> поступающие </w:t>
      </w:r>
      <w:r w:rsidR="000E097A"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 xml:space="preserve">от заявителей в электронном виде посредством ПОС, содержащие информацию о необходимости решения актуальных проблем заявителей, </w:t>
      </w:r>
      <w:r w:rsidR="00205C1D"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 xml:space="preserve">и </w:t>
      </w:r>
      <w:r w:rsidR="00E24D85"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>рассматриваемые в рамках настоящего Порядка</w:t>
      </w:r>
      <w:r w:rsidR="000E097A"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 xml:space="preserve"> (далее – обращения).</w:t>
      </w:r>
    </w:p>
    <w:p w14:paraId="461EA794" w14:textId="676C3EDF" w:rsidR="00855E7E" w:rsidRPr="00A03BED" w:rsidRDefault="00205C1D" w:rsidP="000D53E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Иные п</w:t>
      </w:r>
      <w:r w:rsidR="007514AE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онятия и термины, используемые в </w:t>
      </w:r>
      <w:r w:rsidR="00855E7E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настоящем Порядке,</w:t>
      </w:r>
      <w:r w:rsidR="007514AE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применяются в </w:t>
      </w:r>
      <w:r w:rsidR="00DE446C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значениях</w:t>
      </w:r>
      <w:r w:rsidR="00855E7E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,</w:t>
      </w:r>
      <w:r w:rsidR="007514AE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установленн</w:t>
      </w:r>
      <w:r w:rsidR="00DE446C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ых</w:t>
      </w:r>
      <w:r w:rsidR="007514AE" w:rsidRPr="0036383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7514A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Методическими рекомендациями.</w:t>
      </w:r>
    </w:p>
    <w:p w14:paraId="600118A0" w14:textId="659AD435" w:rsidR="007514AE" w:rsidRPr="005E1D20" w:rsidRDefault="00855E7E" w:rsidP="007514A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37497B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Настоящий Порядок не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распространяется на обращения</w:t>
      </w:r>
      <w:r w:rsidRPr="0037497B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граждан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, порядок рассмотрения которых определен </w:t>
      </w:r>
      <w:r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Федеральным законом от 2 мая 2006 </w:t>
      </w:r>
      <w:r w:rsidRPr="00775B86">
        <w:rPr>
          <w:rFonts w:ascii="Times New Roman" w:eastAsiaTheme="minorEastAsia" w:hAnsi="Times New Roman"/>
          <w:bCs/>
          <w:sz w:val="28"/>
          <w:szCs w:val="28"/>
          <w:lang w:eastAsia="zh-CN"/>
        </w:rPr>
        <w:t>г. № 59-ФЗ «О порядке рассмотрения обращений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граждан Российской Федерации»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61537A55" w14:textId="38445AEF" w:rsidR="006E4160" w:rsidRDefault="006E4160" w:rsidP="006E41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7C7516B9" w14:textId="2EB6C30E" w:rsidR="009671A6" w:rsidRPr="009C4EFC" w:rsidRDefault="00391413" w:rsidP="009671A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 w:rsidRPr="009C4EFC"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 w:rsidR="009671A6" w:rsidRPr="009C4EFC">
        <w:rPr>
          <w:rFonts w:ascii="Times New Roman" w:hAnsi="Times New Roman" w:cs="Times New Roman"/>
          <w:sz w:val="28"/>
          <w:szCs w:val="28"/>
          <w:lang w:eastAsia="zh-CN"/>
        </w:rPr>
        <w:t>. Регламент функционирования единого центра</w:t>
      </w:r>
    </w:p>
    <w:p w14:paraId="1D308A06" w14:textId="77777777" w:rsidR="009671A6" w:rsidRPr="009671A6" w:rsidRDefault="009671A6" w:rsidP="009671A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zh-CN"/>
        </w:rPr>
      </w:pPr>
    </w:p>
    <w:p w14:paraId="3877C299" w14:textId="22AF04A3" w:rsidR="009671A6" w:rsidRPr="009671A6" w:rsidRDefault="00586EAC" w:rsidP="0039141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5</w:t>
      </w:r>
      <w:r w:rsidR="00391413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A03BED">
        <w:rPr>
          <w:rFonts w:ascii="Times New Roman" w:eastAsiaTheme="minorEastAsia" w:hAnsi="Times New Roman"/>
          <w:bCs/>
          <w:sz w:val="28"/>
          <w:szCs w:val="28"/>
          <w:lang w:eastAsia="zh-CN"/>
        </w:rPr>
        <w:t>Единый центр выполняет следующие функции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:</w:t>
      </w:r>
    </w:p>
    <w:p w14:paraId="65714444" w14:textId="3F30FB91" w:rsidR="009671A6" w:rsidRPr="009671A6" w:rsidRDefault="00A03BED" w:rsidP="0039141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а)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прием обращений, а также при необходимости их маршрутизация исполнителям и (или) рассмотрение обращений;</w:t>
      </w:r>
    </w:p>
    <w:p w14:paraId="4554D8FE" w14:textId="259DB74B" w:rsidR="009671A6" w:rsidRPr="009671A6" w:rsidRDefault="00D366DB" w:rsidP="0039141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б)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контроль за </w:t>
      </w:r>
      <w:r w:rsidR="000E097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выполнением подготовки ответа </w:t>
      </w:r>
      <w:r w:rsidR="000E097A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на обращения исполнителями</w:t>
      </w:r>
      <w:r w:rsidR="000E097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в сроки,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установленны</w:t>
      </w:r>
      <w:r w:rsidR="000E097A">
        <w:rPr>
          <w:rFonts w:ascii="Times New Roman" w:eastAsiaTheme="minorEastAsia" w:hAnsi="Times New Roman"/>
          <w:bCs/>
          <w:sz w:val="28"/>
          <w:szCs w:val="28"/>
          <w:lang w:eastAsia="zh-CN"/>
        </w:rPr>
        <w:t>е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настоящим Порядком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;</w:t>
      </w:r>
    </w:p>
    <w:p w14:paraId="63155E84" w14:textId="2E6773CD" w:rsidR="009671A6" w:rsidRPr="009671A6" w:rsidRDefault="00D366DB" w:rsidP="0039141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в)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выявление системных вопросов;</w:t>
      </w:r>
    </w:p>
    <w:p w14:paraId="45D7CA6A" w14:textId="6AB8989C" w:rsidR="009671A6" w:rsidRPr="0036383A" w:rsidRDefault="00D366DB" w:rsidP="0039141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г) </w:t>
      </w:r>
      <w:r w:rsidR="000772FC" w:rsidRPr="000772F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выявление удовлетворенности </w:t>
      </w:r>
      <w:r w:rsidR="005F0471" w:rsidRPr="000772F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заявителей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полученным ответом на обращение, анализ обращений, получивших низкую оценку удовлетворенности и (или) поступивших от заявителей на повторное рассмотрение, в том числе в целях 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выявления системных вопросов и рассмотрения на заседани</w:t>
      </w:r>
      <w:r w:rsidR="008F0318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и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9671A6" w:rsidRPr="0036383A">
        <w:rPr>
          <w:rFonts w:ascii="Times New Roman" w:eastAsiaTheme="minorEastAsia" w:hAnsi="Times New Roman"/>
          <w:color w:val="000000" w:themeColor="text1"/>
          <w:sz w:val="28"/>
          <w:szCs w:val="28"/>
          <w:lang w:eastAsia="zh-CN"/>
        </w:rPr>
        <w:t>рабочей группы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по рассмотрению обращений субъектов инвестиционной и предпринимательской деятельности</w:t>
      </w:r>
      <w:r w:rsidR="000772FC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при </w:t>
      </w:r>
      <w:r w:rsidR="00461622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Инвестиционном комитете Республики Алтай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0A30D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по развитию инвестиционной и предпринимательской деятельности в Республике Алтай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, созданном </w:t>
      </w:r>
      <w:r w:rsidR="000A30D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распоряжением Правительства Республики Алтай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от </w:t>
      </w:r>
      <w:r w:rsidR="000A30D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19 мая 2020 г.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0A30D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№ 286-р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(далее</w:t>
      </w:r>
      <w:r w:rsidR="000E097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соответственно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- рабочая группа</w:t>
      </w:r>
      <w:r w:rsidR="00AA21D7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, </w:t>
      </w:r>
      <w:r w:rsidR="000E097A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Распоряжение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);</w:t>
      </w:r>
    </w:p>
    <w:p w14:paraId="027D23E5" w14:textId="2DBB4E9D" w:rsidR="009671A6" w:rsidRPr="0036383A" w:rsidRDefault="00D366DB" w:rsidP="0039141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д) 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формирование мотивированных предложений по актуализации классификатора</w:t>
      </w:r>
      <w:r w:rsidR="008F0318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обращений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;</w:t>
      </w:r>
    </w:p>
    <w:p w14:paraId="4853E761" w14:textId="17CB53A2" w:rsidR="00377816" w:rsidRPr="008F0318" w:rsidRDefault="00D366DB" w:rsidP="008F0318">
      <w:pPr>
        <w:pStyle w:val="ConsPlusNormal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е) </w:t>
      </w:r>
      <w:r w:rsidR="009671A6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анализ информации о рассмотренных обращениях и подготовка отчетов </w:t>
      </w:r>
      <w:r w:rsidR="00461622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об обращениях (далее – отчет) </w:t>
      </w:r>
      <w:r w:rsidR="000772FC" w:rsidRP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путем выгрузки </w:t>
      </w:r>
      <w:r w:rsidR="000772FC" w:rsidRPr="000772F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информации об обращениях из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ПОС</w:t>
      </w:r>
      <w:r w:rsidR="000772FC" w:rsidRPr="000772FC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6B3AB1A9" w14:textId="18D07042" w:rsidR="009671A6" w:rsidRPr="00A34394" w:rsidRDefault="00586EAC" w:rsidP="00A34394">
      <w:pPr>
        <w:pStyle w:val="ac"/>
        <w:spacing w:before="0" w:beforeAutospacing="0" w:after="0" w:afterAutospacing="0" w:line="288" w:lineRule="atLeast"/>
        <w:ind w:firstLine="709"/>
        <w:jc w:val="both"/>
        <w:rPr>
          <w:rFonts w:eastAsiaTheme="minorEastAsia" w:cs="Calibri"/>
          <w:bCs/>
          <w:sz w:val="28"/>
          <w:szCs w:val="28"/>
          <w:lang w:eastAsia="zh-CN"/>
        </w:rPr>
      </w:pPr>
      <w:r>
        <w:rPr>
          <w:rFonts w:eastAsiaTheme="minorEastAsia" w:cs="Calibri"/>
          <w:bCs/>
          <w:sz w:val="28"/>
          <w:szCs w:val="28"/>
          <w:lang w:eastAsia="zh-CN"/>
        </w:rPr>
        <w:t>6</w:t>
      </w:r>
      <w:r w:rsidR="009671A6" w:rsidRPr="008F0318">
        <w:rPr>
          <w:rFonts w:eastAsiaTheme="minorEastAsia" w:cs="Calibri"/>
          <w:bCs/>
          <w:sz w:val="28"/>
          <w:szCs w:val="28"/>
          <w:lang w:eastAsia="zh-CN"/>
        </w:rPr>
        <w:t xml:space="preserve">. Куратором единого центра является первый заместитель </w:t>
      </w:r>
      <w:r w:rsidR="000A30DA" w:rsidRPr="008F0318">
        <w:rPr>
          <w:rFonts w:eastAsiaTheme="minorEastAsia" w:cs="Calibri"/>
          <w:bCs/>
          <w:sz w:val="28"/>
          <w:szCs w:val="28"/>
          <w:lang w:eastAsia="zh-CN"/>
        </w:rPr>
        <w:t>Председателя Правительства Республики Алтай</w:t>
      </w:r>
      <w:r w:rsidR="009671A6" w:rsidRPr="008F0318">
        <w:rPr>
          <w:rFonts w:eastAsiaTheme="minorEastAsia" w:cs="Calibri"/>
          <w:bCs/>
          <w:sz w:val="28"/>
          <w:szCs w:val="28"/>
          <w:lang w:eastAsia="zh-CN"/>
        </w:rPr>
        <w:t xml:space="preserve">, курирующий вопросы </w:t>
      </w:r>
      <w:r w:rsidR="008F0318" w:rsidRPr="008F0318">
        <w:rPr>
          <w:rFonts w:eastAsiaTheme="minorEastAsia" w:cs="Calibri"/>
          <w:bCs/>
          <w:sz w:val="28"/>
          <w:szCs w:val="28"/>
          <w:lang w:eastAsia="zh-CN"/>
        </w:rPr>
        <w:t xml:space="preserve">экономической и инвестиционной деятельности, в </w:t>
      </w:r>
      <w:proofErr w:type="gramStart"/>
      <w:r w:rsidR="008F0318" w:rsidRPr="008F0318">
        <w:rPr>
          <w:rFonts w:eastAsiaTheme="minorEastAsia" w:cs="Calibri"/>
          <w:bCs/>
          <w:sz w:val="28"/>
          <w:szCs w:val="28"/>
          <w:lang w:eastAsia="zh-CN"/>
        </w:rPr>
        <w:t>соответствии</w:t>
      </w:r>
      <w:r w:rsidR="00A34394">
        <w:rPr>
          <w:rFonts w:eastAsiaTheme="minorEastAsia" w:cs="Calibri"/>
          <w:bCs/>
          <w:sz w:val="28"/>
          <w:szCs w:val="28"/>
          <w:lang w:eastAsia="zh-CN"/>
        </w:rPr>
        <w:t xml:space="preserve">  с</w:t>
      </w:r>
      <w:proofErr w:type="gramEnd"/>
      <w:r w:rsidR="00A34394">
        <w:rPr>
          <w:rFonts w:eastAsiaTheme="minorEastAsia" w:cs="Calibri"/>
          <w:bCs/>
          <w:sz w:val="28"/>
          <w:szCs w:val="28"/>
          <w:lang w:eastAsia="zh-CN"/>
        </w:rPr>
        <w:t xml:space="preserve"> законодательством </w:t>
      </w:r>
      <w:r w:rsidR="008F0318" w:rsidRPr="008F0318">
        <w:rPr>
          <w:rFonts w:eastAsiaTheme="minorEastAsia" w:cs="Calibri"/>
          <w:bCs/>
          <w:sz w:val="28"/>
          <w:szCs w:val="28"/>
          <w:lang w:eastAsia="zh-CN"/>
        </w:rPr>
        <w:t xml:space="preserve"> </w:t>
      </w:r>
      <w:r w:rsidR="00A34394">
        <w:rPr>
          <w:rFonts w:eastAsiaTheme="minorEastAsia" w:cs="Calibri"/>
          <w:bCs/>
          <w:sz w:val="28"/>
          <w:szCs w:val="28"/>
          <w:lang w:eastAsia="zh-CN"/>
        </w:rPr>
        <w:t>Республики Алтай</w:t>
      </w:r>
      <w:r w:rsidR="008F0318">
        <w:rPr>
          <w:rFonts w:eastAsiaTheme="minorEastAsia" w:cs="Calibri"/>
          <w:bCs/>
          <w:sz w:val="28"/>
          <w:szCs w:val="28"/>
          <w:lang w:eastAsia="zh-CN"/>
        </w:rPr>
        <w:t>.</w:t>
      </w:r>
    </w:p>
    <w:p w14:paraId="3D409E09" w14:textId="69EDF7D1" w:rsidR="009671A6" w:rsidRPr="009671A6" w:rsidRDefault="00586EAC" w:rsidP="00D366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7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. Куратор</w:t>
      </w:r>
      <w:r w:rsidR="000772F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772FC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единого центра</w:t>
      </w:r>
      <w:r w:rsidR="00D366D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обеспечивает контроль за реализацией механизма обратной связи </w:t>
      </w:r>
      <w:r w:rsidR="000A30DA">
        <w:rPr>
          <w:rFonts w:ascii="Times New Roman" w:eastAsiaTheme="minorEastAsia" w:hAnsi="Times New Roman"/>
          <w:bCs/>
          <w:sz w:val="28"/>
          <w:szCs w:val="28"/>
          <w:lang w:eastAsia="zh-CN"/>
        </w:rPr>
        <w:t>в Республике Алтай</w:t>
      </w:r>
      <w:r w:rsidR="009C4EFC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39BA7282" w14:textId="04165859" w:rsidR="009671A6" w:rsidRPr="009671A6" w:rsidRDefault="00586EAC" w:rsidP="000A30D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8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Руководителем единого центра является директор </w:t>
      </w:r>
      <w:r w:rsidR="008F0318">
        <w:rPr>
          <w:rFonts w:ascii="Times New Roman" w:eastAsiaTheme="minorEastAsia" w:hAnsi="Times New Roman"/>
          <w:bCs/>
          <w:sz w:val="28"/>
          <w:szCs w:val="28"/>
          <w:lang w:eastAsia="zh-CN"/>
        </w:rPr>
        <w:t>Центра «Мой Бизнес»</w:t>
      </w:r>
      <w:r w:rsidR="009671A6" w:rsidRPr="000A30DA">
        <w:rPr>
          <w:rFonts w:ascii="Times New Roman" w:eastAsiaTheme="minorEastAsia" w:hAnsi="Times New Roman"/>
          <w:bCs/>
          <w:color w:val="FF0000"/>
          <w:sz w:val="28"/>
          <w:szCs w:val="28"/>
          <w:lang w:eastAsia="zh-CN"/>
        </w:rPr>
        <w:t>.</w:t>
      </w:r>
    </w:p>
    <w:p w14:paraId="40C7B493" w14:textId="6008A0B5" w:rsidR="009671A6" w:rsidRPr="009671A6" w:rsidRDefault="00586EAC" w:rsidP="000A30D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9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. Руководитель единого центра:</w:t>
      </w:r>
    </w:p>
    <w:p w14:paraId="486752F4" w14:textId="0470E2AB" w:rsidR="009671A6" w:rsidRPr="009671A6" w:rsidRDefault="00D366DB" w:rsidP="000A30D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а)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обеспечивает на постоянной основе общую координацию деятельности единого центра;</w:t>
      </w:r>
    </w:p>
    <w:p w14:paraId="3EE63587" w14:textId="5749AF43" w:rsidR="009671A6" w:rsidRPr="009671A6" w:rsidRDefault="00D366DB" w:rsidP="00BA57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б)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обеспечивает ежедневную операционную деятельность единого центра по выполнению функций, </w:t>
      </w:r>
      <w:r w:rsidR="0046162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установленных пунктом </w:t>
      </w:r>
      <w:r w:rsidR="00360D7B">
        <w:rPr>
          <w:rFonts w:ascii="Times New Roman" w:eastAsiaTheme="minorEastAsia" w:hAnsi="Times New Roman"/>
          <w:bCs/>
          <w:sz w:val="28"/>
          <w:szCs w:val="28"/>
          <w:lang w:eastAsia="zh-CN"/>
        </w:rPr>
        <w:t>5 настоящего Порядка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;</w:t>
      </w:r>
    </w:p>
    <w:p w14:paraId="20A0628C" w14:textId="2C626872" w:rsidR="009671A6" w:rsidRPr="009671A6" w:rsidRDefault="00D366DB" w:rsidP="00BA57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в)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>обеспечивает организационно-техническое сопровождение деятельности единого центра;</w:t>
      </w:r>
    </w:p>
    <w:p w14:paraId="43F15AEB" w14:textId="67B7AC17" w:rsidR="009671A6" w:rsidRPr="00BA57B6" w:rsidRDefault="00D366DB" w:rsidP="00BA57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г)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представляет куратору единого центра и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Министерству экономического развития Республики Алтай </w:t>
      </w:r>
      <w:r w:rsidR="009671A6" w:rsidRPr="009671A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аналитические и информационные материалы по направлениям деятельности единого центра, в том числе о выявленных </w:t>
      </w:r>
      <w:r w:rsidR="009671A6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системных </w:t>
      </w:r>
      <w:r w:rsidR="009671A6" w:rsidRPr="00BA57B6">
        <w:rPr>
          <w:rFonts w:ascii="Times New Roman" w:eastAsiaTheme="minorEastAsia" w:hAnsi="Times New Roman"/>
          <w:bCs/>
          <w:sz w:val="28"/>
          <w:szCs w:val="28"/>
          <w:lang w:eastAsia="zh-CN"/>
        </w:rPr>
        <w:t>вопросах;</w:t>
      </w:r>
    </w:p>
    <w:p w14:paraId="1D39BCD8" w14:textId="6058C15C" w:rsidR="009671A6" w:rsidRPr="00BA57B6" w:rsidRDefault="00D366DB" w:rsidP="00BA57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BA57B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д) </w:t>
      </w:r>
      <w:r w:rsidR="009671A6" w:rsidRPr="00BA57B6">
        <w:rPr>
          <w:rFonts w:ascii="Times New Roman" w:eastAsiaTheme="minorEastAsia" w:hAnsi="Times New Roman"/>
          <w:bCs/>
          <w:sz w:val="28"/>
          <w:szCs w:val="28"/>
          <w:lang w:eastAsia="zh-CN"/>
        </w:rPr>
        <w:t>несет персональную ответственность за исполнение единым центром функций</w:t>
      </w:r>
      <w:r w:rsidR="00360D7B">
        <w:rPr>
          <w:rFonts w:ascii="Times New Roman" w:eastAsiaTheme="minorEastAsia" w:hAnsi="Times New Roman"/>
          <w:bCs/>
          <w:sz w:val="28"/>
          <w:szCs w:val="28"/>
          <w:lang w:eastAsia="zh-CN"/>
        </w:rPr>
        <w:t>, указанны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>е в</w:t>
      </w:r>
      <w:r w:rsidR="00360D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пункт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>е</w:t>
      </w:r>
      <w:r w:rsidR="00360D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5 настоящего Порядка.</w:t>
      </w:r>
    </w:p>
    <w:p w14:paraId="0E3D6375" w14:textId="14C43E12" w:rsidR="00897EA6" w:rsidRPr="00BA57B6" w:rsidRDefault="00106CC0" w:rsidP="00BA57B6">
      <w:pPr>
        <w:pStyle w:val="ac"/>
        <w:spacing w:before="0" w:beforeAutospacing="0" w:after="0" w:afterAutospacing="0"/>
        <w:ind w:firstLine="709"/>
        <w:jc w:val="both"/>
        <w:rPr>
          <w:rFonts w:eastAsiaTheme="minorEastAsia"/>
          <w:bCs/>
          <w:sz w:val="28"/>
          <w:szCs w:val="28"/>
          <w:lang w:eastAsia="zh-CN"/>
        </w:rPr>
      </w:pPr>
      <w:r w:rsidRPr="00BA57B6">
        <w:rPr>
          <w:rFonts w:eastAsiaTheme="minorEastAsia"/>
          <w:bCs/>
          <w:sz w:val="28"/>
          <w:szCs w:val="28"/>
          <w:lang w:eastAsia="zh-CN"/>
        </w:rPr>
        <w:t>1</w:t>
      </w:r>
      <w:r w:rsidR="00586EAC">
        <w:rPr>
          <w:rFonts w:eastAsiaTheme="minorEastAsia"/>
          <w:bCs/>
          <w:sz w:val="28"/>
          <w:szCs w:val="28"/>
          <w:lang w:eastAsia="zh-CN"/>
        </w:rPr>
        <w:t>0</w:t>
      </w:r>
      <w:r w:rsidR="009671A6" w:rsidRPr="00BA57B6">
        <w:rPr>
          <w:rFonts w:eastAsiaTheme="minorEastAsia"/>
          <w:bCs/>
          <w:sz w:val="28"/>
          <w:szCs w:val="28"/>
          <w:lang w:eastAsia="zh-CN"/>
        </w:rPr>
        <w:t>.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 Каналами обратной связи с заявителями в Республике Алтай являются:</w:t>
      </w:r>
    </w:p>
    <w:p w14:paraId="641D2E68" w14:textId="3692CE49" w:rsidR="00897EA6" w:rsidRPr="00BA57B6" w:rsidRDefault="006E7D2F" w:rsidP="00BA57B6">
      <w:pPr>
        <w:pStyle w:val="ac"/>
        <w:spacing w:before="0" w:beforeAutospacing="0" w:after="0" w:afterAutospacing="0"/>
        <w:ind w:firstLine="709"/>
        <w:jc w:val="both"/>
        <w:rPr>
          <w:rFonts w:eastAsiaTheme="minorEastAsia"/>
          <w:bCs/>
          <w:sz w:val="28"/>
          <w:szCs w:val="28"/>
          <w:lang w:eastAsia="zh-CN"/>
        </w:rPr>
      </w:pPr>
      <w:r>
        <w:rPr>
          <w:rFonts w:eastAsiaTheme="minorEastAsia"/>
          <w:bCs/>
          <w:sz w:val="28"/>
          <w:szCs w:val="28"/>
          <w:lang w:eastAsia="zh-CN"/>
        </w:rPr>
        <w:t>а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) официальный сайт Правительства </w:t>
      </w:r>
      <w:r w:rsidR="00BA57B6" w:rsidRPr="00BA57B6">
        <w:rPr>
          <w:rFonts w:eastAsiaTheme="minorEastAsia"/>
          <w:bCs/>
          <w:sz w:val="28"/>
          <w:szCs w:val="28"/>
          <w:lang w:eastAsia="zh-CN"/>
        </w:rPr>
        <w:t>Республики Алтай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 в информационно-телекоммуникационной сети </w:t>
      </w:r>
      <w:r w:rsidR="00BA57B6">
        <w:rPr>
          <w:rFonts w:eastAsiaTheme="minorEastAsia"/>
          <w:bCs/>
          <w:sz w:val="28"/>
          <w:szCs w:val="28"/>
          <w:lang w:eastAsia="zh-CN"/>
        </w:rPr>
        <w:t>«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>Интернет</w:t>
      </w:r>
      <w:r w:rsidR="00BA57B6">
        <w:rPr>
          <w:rFonts w:eastAsiaTheme="minorEastAsia"/>
          <w:bCs/>
          <w:sz w:val="28"/>
          <w:szCs w:val="28"/>
          <w:lang w:eastAsia="zh-CN"/>
        </w:rPr>
        <w:t>»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 (далее - сеть </w:t>
      </w:r>
      <w:r w:rsidR="00BA57B6" w:rsidRPr="00BA57B6">
        <w:rPr>
          <w:rFonts w:eastAsiaTheme="minorEastAsia"/>
          <w:bCs/>
          <w:sz w:val="28"/>
          <w:szCs w:val="28"/>
          <w:lang w:eastAsia="zh-CN"/>
        </w:rPr>
        <w:t>«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>Интернет</w:t>
      </w:r>
      <w:r w:rsidR="00BA57B6" w:rsidRPr="00BA57B6">
        <w:rPr>
          <w:rFonts w:eastAsiaTheme="minorEastAsia"/>
          <w:bCs/>
          <w:sz w:val="28"/>
          <w:szCs w:val="28"/>
          <w:lang w:eastAsia="zh-CN"/>
        </w:rPr>
        <w:t>»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); </w:t>
      </w:r>
    </w:p>
    <w:p w14:paraId="4E8A40BE" w14:textId="491ED836" w:rsidR="00897EA6" w:rsidRPr="00BA57B6" w:rsidRDefault="006E7D2F" w:rsidP="00BA57B6">
      <w:pPr>
        <w:pStyle w:val="ac"/>
        <w:spacing w:before="0" w:beforeAutospacing="0" w:after="0" w:afterAutospacing="0"/>
        <w:ind w:firstLine="709"/>
        <w:jc w:val="both"/>
        <w:rPr>
          <w:rFonts w:eastAsiaTheme="minorEastAsia"/>
          <w:bCs/>
          <w:sz w:val="28"/>
          <w:szCs w:val="28"/>
          <w:lang w:eastAsia="zh-CN"/>
        </w:rPr>
      </w:pPr>
      <w:r>
        <w:rPr>
          <w:rFonts w:eastAsiaTheme="minorEastAsia"/>
          <w:bCs/>
          <w:sz w:val="28"/>
          <w:szCs w:val="28"/>
          <w:lang w:eastAsia="zh-CN"/>
        </w:rPr>
        <w:t>б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) инвестиционный портал </w:t>
      </w:r>
      <w:r w:rsidR="00BA57B6" w:rsidRPr="00BA57B6">
        <w:rPr>
          <w:rFonts w:eastAsiaTheme="minorEastAsia"/>
          <w:bCs/>
          <w:sz w:val="28"/>
          <w:szCs w:val="28"/>
          <w:lang w:eastAsia="zh-CN"/>
        </w:rPr>
        <w:t>Республики Алтай в сети «Интернет»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; </w:t>
      </w:r>
    </w:p>
    <w:p w14:paraId="0C13C3BD" w14:textId="6F9D14CF" w:rsidR="00775B86" w:rsidRPr="00BA57B6" w:rsidRDefault="006E7D2F" w:rsidP="00BA57B6">
      <w:pPr>
        <w:pStyle w:val="ac"/>
        <w:spacing w:before="0" w:beforeAutospacing="0" w:after="0" w:afterAutospacing="0"/>
        <w:ind w:firstLine="709"/>
        <w:jc w:val="both"/>
        <w:rPr>
          <w:rFonts w:eastAsiaTheme="minorEastAsia"/>
          <w:bCs/>
          <w:sz w:val="28"/>
          <w:szCs w:val="28"/>
          <w:lang w:eastAsia="zh-CN"/>
        </w:rPr>
      </w:pPr>
      <w:r>
        <w:rPr>
          <w:rFonts w:eastAsiaTheme="minorEastAsia"/>
          <w:bCs/>
          <w:sz w:val="28"/>
          <w:szCs w:val="28"/>
          <w:lang w:eastAsia="zh-CN"/>
        </w:rPr>
        <w:t>в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) официальный сайт </w:t>
      </w:r>
      <w:r w:rsidR="00BA57B6">
        <w:rPr>
          <w:rFonts w:eastAsiaTheme="minorEastAsia"/>
          <w:bCs/>
          <w:sz w:val="28"/>
          <w:szCs w:val="28"/>
          <w:lang w:eastAsia="zh-CN"/>
        </w:rPr>
        <w:t>Центр</w:t>
      </w:r>
      <w:r w:rsidR="009C4EFC">
        <w:rPr>
          <w:rFonts w:eastAsiaTheme="minorEastAsia"/>
          <w:bCs/>
          <w:sz w:val="28"/>
          <w:szCs w:val="28"/>
          <w:lang w:eastAsia="zh-CN"/>
        </w:rPr>
        <w:t>а</w:t>
      </w:r>
      <w:r w:rsidR="00BA57B6">
        <w:rPr>
          <w:rFonts w:eastAsiaTheme="minorEastAsia"/>
          <w:bCs/>
          <w:sz w:val="28"/>
          <w:szCs w:val="28"/>
          <w:lang w:eastAsia="zh-CN"/>
        </w:rPr>
        <w:t xml:space="preserve"> «Мой Бизнес»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 в сети </w:t>
      </w:r>
      <w:r w:rsidR="00BA57B6">
        <w:rPr>
          <w:rFonts w:eastAsiaTheme="minorEastAsia"/>
          <w:bCs/>
          <w:sz w:val="28"/>
          <w:szCs w:val="28"/>
          <w:lang w:eastAsia="zh-CN"/>
        </w:rPr>
        <w:t>«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>Интернет</w:t>
      </w:r>
      <w:r w:rsidR="00BA57B6">
        <w:rPr>
          <w:rFonts w:eastAsiaTheme="minorEastAsia"/>
          <w:bCs/>
          <w:sz w:val="28"/>
          <w:szCs w:val="28"/>
          <w:lang w:eastAsia="zh-CN"/>
        </w:rPr>
        <w:t>»</w:t>
      </w:r>
      <w:r w:rsidR="00897EA6" w:rsidRPr="00BA57B6">
        <w:rPr>
          <w:rFonts w:eastAsiaTheme="minorEastAsia"/>
          <w:bCs/>
          <w:sz w:val="28"/>
          <w:szCs w:val="28"/>
          <w:lang w:eastAsia="zh-CN"/>
        </w:rPr>
        <w:t xml:space="preserve">. </w:t>
      </w:r>
    </w:p>
    <w:p w14:paraId="377A618B" w14:textId="7FEAE78D" w:rsidR="000E1F56" w:rsidRDefault="000E1F56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318339D5" w14:textId="6E794471" w:rsidR="000E1F56" w:rsidRPr="009C4EFC" w:rsidRDefault="000E1F56" w:rsidP="000E1F56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9C4EFC">
        <w:rPr>
          <w:rFonts w:ascii="Times New Roman" w:eastAsiaTheme="minorEastAsia" w:hAnsi="Times New Roman"/>
          <w:b/>
          <w:bCs/>
          <w:sz w:val="28"/>
          <w:szCs w:val="28"/>
          <w:lang w:val="en-US" w:eastAsia="zh-CN"/>
        </w:rPr>
        <w:t>IV</w:t>
      </w:r>
      <w:r w:rsidRPr="009C4EFC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. Порядок и сроки рассмотрения обращений «консультации»</w:t>
      </w:r>
    </w:p>
    <w:p w14:paraId="124E707B" w14:textId="4CD80130" w:rsidR="000E1F56" w:rsidRPr="009C4EFC" w:rsidRDefault="000E1F56" w:rsidP="000E1F56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9C4EFC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и обращений «помощь»</w:t>
      </w:r>
    </w:p>
    <w:p w14:paraId="663DD8D3" w14:textId="77777777" w:rsidR="000E1F56" w:rsidRPr="009C4EFC" w:rsidRDefault="000E1F56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</w:p>
    <w:p w14:paraId="6AE54098" w14:textId="04B96F6F" w:rsidR="000E1F56" w:rsidRPr="000E1F56" w:rsidRDefault="002B45D0" w:rsidP="00F10AF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. П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ри поступлении обращения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консультаци</w:t>
      </w:r>
      <w:r w:rsidR="00BA57B6">
        <w:rPr>
          <w:rFonts w:ascii="Times New Roman" w:eastAsiaTheme="minorEastAsia" w:hAnsi="Times New Roman"/>
          <w:bCs/>
          <w:sz w:val="28"/>
          <w:szCs w:val="28"/>
          <w:lang w:eastAsia="zh-CN"/>
        </w:rPr>
        <w:t>я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исполнитель в срок </w:t>
      </w:r>
      <w:r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>не более 5 календарных дней с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о</w:t>
      </w:r>
      <w:r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дня</w:t>
      </w:r>
      <w:r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автоматической регистрации обращения в ПОС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>,</w:t>
      </w:r>
      <w:r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рассматривает обращение и 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для предоставления устн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ого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разъяснени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я по предмету обращения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связывается с заявителем, а при невозможности предоставления устн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ого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разъяснени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я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направляет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заявителю письменный ответ в электронном виде</w:t>
      </w:r>
      <w:r w:rsidR="00A34394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посредством ПОС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77EC00C0" w14:textId="4D639377" w:rsidR="000E1F56" w:rsidRPr="00F10AF1" w:rsidRDefault="002B45D0" w:rsidP="00F10AF1">
      <w:pPr>
        <w:pStyle w:val="ac"/>
        <w:spacing w:before="0" w:beforeAutospacing="0" w:after="0" w:afterAutospacing="0" w:line="288" w:lineRule="atLeast"/>
        <w:ind w:firstLine="709"/>
        <w:jc w:val="both"/>
      </w:pPr>
      <w:r>
        <w:rPr>
          <w:rFonts w:eastAsiaTheme="minorEastAsia"/>
          <w:bCs/>
          <w:sz w:val="28"/>
          <w:szCs w:val="28"/>
          <w:lang w:eastAsia="zh-CN"/>
        </w:rPr>
        <w:t>1</w:t>
      </w:r>
      <w:r w:rsidR="00586EAC">
        <w:rPr>
          <w:rFonts w:eastAsiaTheme="minorEastAsia"/>
          <w:bCs/>
          <w:sz w:val="28"/>
          <w:szCs w:val="28"/>
          <w:lang w:eastAsia="zh-CN"/>
        </w:rPr>
        <w:t>2</w:t>
      </w:r>
      <w:r>
        <w:rPr>
          <w:rFonts w:eastAsiaTheme="minorEastAsia"/>
          <w:bCs/>
          <w:sz w:val="28"/>
          <w:szCs w:val="28"/>
          <w:lang w:eastAsia="zh-CN"/>
        </w:rPr>
        <w:t>. П</w:t>
      </w:r>
      <w:r w:rsidR="000E1F56" w:rsidRPr="000E1F56">
        <w:rPr>
          <w:rFonts w:eastAsiaTheme="minorEastAsia"/>
          <w:bCs/>
          <w:sz w:val="28"/>
          <w:szCs w:val="28"/>
          <w:lang w:eastAsia="zh-CN"/>
        </w:rPr>
        <w:t xml:space="preserve">ри поступлении обращения </w:t>
      </w:r>
      <w:r w:rsidR="0000314A">
        <w:rPr>
          <w:rFonts w:eastAsiaTheme="minorEastAsia"/>
          <w:bCs/>
          <w:sz w:val="28"/>
          <w:szCs w:val="28"/>
          <w:lang w:eastAsia="zh-CN"/>
        </w:rPr>
        <w:t>«</w:t>
      </w:r>
      <w:r w:rsidR="000E1F56" w:rsidRPr="000E1F56">
        <w:rPr>
          <w:rFonts w:eastAsiaTheme="minorEastAsia"/>
          <w:bCs/>
          <w:sz w:val="28"/>
          <w:szCs w:val="28"/>
          <w:lang w:eastAsia="zh-CN"/>
        </w:rPr>
        <w:t>помощь</w:t>
      </w:r>
      <w:r w:rsidR="0000314A">
        <w:rPr>
          <w:rFonts w:eastAsiaTheme="minorEastAsia"/>
          <w:bCs/>
          <w:sz w:val="28"/>
          <w:szCs w:val="28"/>
          <w:lang w:eastAsia="zh-CN"/>
        </w:rPr>
        <w:t>»</w:t>
      </w:r>
      <w:r w:rsidRPr="002B45D0">
        <w:rPr>
          <w:rFonts w:eastAsiaTheme="minorEastAsia"/>
          <w:bCs/>
          <w:sz w:val="28"/>
          <w:szCs w:val="28"/>
          <w:lang w:eastAsia="zh-CN"/>
        </w:rPr>
        <w:t xml:space="preserve"> </w:t>
      </w:r>
      <w:r>
        <w:rPr>
          <w:rFonts w:eastAsiaTheme="minorEastAsia"/>
          <w:bCs/>
          <w:sz w:val="28"/>
          <w:szCs w:val="28"/>
          <w:lang w:eastAsia="zh-CN"/>
        </w:rPr>
        <w:t xml:space="preserve">исполнитель в срок </w:t>
      </w:r>
      <w:r w:rsidRPr="00A752BE">
        <w:rPr>
          <w:rFonts w:eastAsiaTheme="minorEastAsia"/>
          <w:bCs/>
          <w:sz w:val="28"/>
          <w:szCs w:val="28"/>
          <w:lang w:eastAsia="zh-CN"/>
        </w:rPr>
        <w:t xml:space="preserve">не более </w:t>
      </w:r>
      <w:r>
        <w:rPr>
          <w:rFonts w:eastAsiaTheme="minorEastAsia"/>
          <w:bCs/>
          <w:sz w:val="28"/>
          <w:szCs w:val="28"/>
          <w:lang w:eastAsia="zh-CN"/>
        </w:rPr>
        <w:t xml:space="preserve">10 </w:t>
      </w:r>
      <w:r w:rsidRPr="00A752BE">
        <w:rPr>
          <w:rFonts w:eastAsiaTheme="minorEastAsia"/>
          <w:bCs/>
          <w:sz w:val="28"/>
          <w:szCs w:val="28"/>
          <w:lang w:eastAsia="zh-CN"/>
        </w:rPr>
        <w:t>календарных дней с</w:t>
      </w:r>
      <w:r>
        <w:rPr>
          <w:rFonts w:eastAsiaTheme="minorEastAsia"/>
          <w:bCs/>
          <w:sz w:val="28"/>
          <w:szCs w:val="28"/>
          <w:lang w:eastAsia="zh-CN"/>
        </w:rPr>
        <w:t>о</w:t>
      </w:r>
      <w:r w:rsidRPr="00A752BE">
        <w:rPr>
          <w:rFonts w:eastAsiaTheme="minorEastAsia"/>
          <w:bCs/>
          <w:sz w:val="28"/>
          <w:szCs w:val="28"/>
          <w:lang w:eastAsia="zh-CN"/>
        </w:rPr>
        <w:t xml:space="preserve"> </w:t>
      </w:r>
      <w:r>
        <w:rPr>
          <w:rFonts w:eastAsiaTheme="minorEastAsia"/>
          <w:bCs/>
          <w:sz w:val="28"/>
          <w:szCs w:val="28"/>
          <w:lang w:eastAsia="zh-CN"/>
        </w:rPr>
        <w:t>дня</w:t>
      </w:r>
      <w:r w:rsidRPr="00A752BE">
        <w:rPr>
          <w:rFonts w:eastAsiaTheme="minorEastAsia"/>
          <w:bCs/>
          <w:sz w:val="28"/>
          <w:szCs w:val="28"/>
          <w:lang w:eastAsia="zh-CN"/>
        </w:rPr>
        <w:t xml:space="preserve"> автоматической регистрации обращения в ПОС</w:t>
      </w:r>
      <w:r w:rsidR="00CC41B4">
        <w:rPr>
          <w:rFonts w:eastAsiaTheme="minorEastAsia"/>
          <w:bCs/>
          <w:sz w:val="28"/>
          <w:szCs w:val="28"/>
          <w:lang w:eastAsia="zh-CN"/>
        </w:rPr>
        <w:t xml:space="preserve"> </w:t>
      </w:r>
      <w:r w:rsidRPr="002B45D0">
        <w:rPr>
          <w:rFonts w:eastAsiaTheme="minorEastAsia"/>
          <w:bCs/>
          <w:sz w:val="28"/>
          <w:szCs w:val="28"/>
          <w:lang w:eastAsia="zh-CN"/>
        </w:rPr>
        <w:t>рассматривает обращение</w:t>
      </w:r>
      <w:r w:rsidR="00F10AF1">
        <w:rPr>
          <w:rFonts w:eastAsiaTheme="minorEastAsia"/>
          <w:bCs/>
          <w:sz w:val="28"/>
          <w:szCs w:val="28"/>
          <w:lang w:eastAsia="zh-CN"/>
        </w:rPr>
        <w:t>,</w:t>
      </w:r>
      <w:r w:rsidRPr="002B45D0">
        <w:rPr>
          <w:rFonts w:eastAsiaTheme="minorEastAsia"/>
          <w:bCs/>
          <w:sz w:val="28"/>
          <w:szCs w:val="28"/>
          <w:lang w:eastAsia="zh-CN"/>
        </w:rPr>
        <w:t xml:space="preserve"> </w:t>
      </w:r>
      <w:r w:rsidR="000E1F56" w:rsidRPr="000E1F56">
        <w:rPr>
          <w:rFonts w:eastAsiaTheme="minorEastAsia"/>
          <w:bCs/>
          <w:sz w:val="28"/>
          <w:szCs w:val="28"/>
          <w:lang w:eastAsia="zh-CN"/>
        </w:rPr>
        <w:t xml:space="preserve">при </w:t>
      </w:r>
      <w:r>
        <w:rPr>
          <w:rFonts w:eastAsiaTheme="minorEastAsia"/>
          <w:bCs/>
          <w:sz w:val="28"/>
          <w:szCs w:val="28"/>
          <w:lang w:eastAsia="zh-CN"/>
        </w:rPr>
        <w:t xml:space="preserve">необходимости </w:t>
      </w:r>
      <w:r w:rsidR="000E1F56" w:rsidRPr="000E1F56">
        <w:rPr>
          <w:rFonts w:eastAsiaTheme="minorEastAsia"/>
          <w:bCs/>
          <w:sz w:val="28"/>
          <w:szCs w:val="28"/>
          <w:lang w:eastAsia="zh-CN"/>
        </w:rPr>
        <w:t xml:space="preserve">связывается с </w:t>
      </w:r>
      <w:r w:rsidR="000E1F56" w:rsidRPr="0037497B">
        <w:rPr>
          <w:rFonts w:eastAsiaTheme="minorEastAsia"/>
          <w:bCs/>
          <w:sz w:val="28"/>
          <w:szCs w:val="28"/>
          <w:lang w:eastAsia="zh-CN"/>
        </w:rPr>
        <w:t xml:space="preserve">заявителем </w:t>
      </w:r>
      <w:r w:rsidR="00F10AF1">
        <w:rPr>
          <w:rFonts w:eastAsiaTheme="minorEastAsia"/>
          <w:bCs/>
          <w:sz w:val="28"/>
          <w:szCs w:val="28"/>
          <w:lang w:eastAsia="zh-CN"/>
        </w:rPr>
        <w:t>и</w:t>
      </w:r>
      <w:r w:rsidR="00F10AF1" w:rsidRPr="0037497B">
        <w:rPr>
          <w:rFonts w:eastAsiaTheme="minorEastAsia"/>
          <w:bCs/>
          <w:sz w:val="28"/>
          <w:szCs w:val="28"/>
          <w:lang w:eastAsia="zh-CN"/>
        </w:rPr>
        <w:t xml:space="preserve"> </w:t>
      </w:r>
      <w:r w:rsidR="00F10AF1">
        <w:rPr>
          <w:rFonts w:eastAsiaTheme="minorEastAsia"/>
          <w:bCs/>
          <w:sz w:val="28"/>
          <w:szCs w:val="28"/>
          <w:lang w:eastAsia="zh-CN"/>
        </w:rPr>
        <w:t>иными исполнителями</w:t>
      </w:r>
      <w:r w:rsidR="00F10AF1" w:rsidRPr="0037497B">
        <w:rPr>
          <w:rFonts w:eastAsiaTheme="minorEastAsia"/>
          <w:bCs/>
          <w:sz w:val="28"/>
          <w:szCs w:val="28"/>
          <w:lang w:eastAsia="zh-CN"/>
        </w:rPr>
        <w:t xml:space="preserve"> </w:t>
      </w:r>
      <w:r w:rsidR="000E1F56" w:rsidRPr="0037497B">
        <w:rPr>
          <w:rFonts w:eastAsiaTheme="minorEastAsia"/>
          <w:bCs/>
          <w:sz w:val="28"/>
          <w:szCs w:val="28"/>
          <w:lang w:eastAsia="zh-CN"/>
        </w:rPr>
        <w:t>для получения дополнительных материалов по предмету обращения</w:t>
      </w:r>
      <w:r w:rsidR="00F10AF1">
        <w:rPr>
          <w:rFonts w:eastAsiaTheme="minorEastAsia"/>
          <w:bCs/>
          <w:sz w:val="28"/>
          <w:szCs w:val="28"/>
          <w:lang w:eastAsia="zh-CN"/>
        </w:rPr>
        <w:t xml:space="preserve"> и </w:t>
      </w:r>
      <w:r w:rsidR="000E1F56" w:rsidRPr="0037497B">
        <w:rPr>
          <w:rFonts w:eastAsiaTheme="minorEastAsia"/>
          <w:bCs/>
          <w:sz w:val="28"/>
          <w:szCs w:val="28"/>
          <w:lang w:eastAsia="zh-CN"/>
        </w:rPr>
        <w:t xml:space="preserve">направляет </w:t>
      </w:r>
      <w:r w:rsidR="00F10AF1">
        <w:rPr>
          <w:rFonts w:eastAsiaTheme="minorEastAsia"/>
          <w:bCs/>
          <w:sz w:val="28"/>
          <w:szCs w:val="28"/>
          <w:lang w:eastAsia="zh-CN"/>
        </w:rPr>
        <w:t xml:space="preserve">ответ заявителю в электронном </w:t>
      </w:r>
      <w:r w:rsidR="00F10AF1" w:rsidRPr="00F10AF1">
        <w:rPr>
          <w:rFonts w:eastAsiaTheme="minorEastAsia"/>
          <w:bCs/>
          <w:sz w:val="28"/>
          <w:szCs w:val="28"/>
          <w:lang w:eastAsia="zh-CN"/>
        </w:rPr>
        <w:t>виде</w:t>
      </w:r>
      <w:r w:rsidR="00A34394">
        <w:rPr>
          <w:rFonts w:eastAsiaTheme="minorEastAsia"/>
          <w:bCs/>
          <w:sz w:val="28"/>
          <w:szCs w:val="28"/>
          <w:lang w:eastAsia="zh-CN"/>
        </w:rPr>
        <w:t xml:space="preserve"> посредством ПОС</w:t>
      </w:r>
      <w:r w:rsidR="00A34394" w:rsidRPr="000E1F56">
        <w:rPr>
          <w:rFonts w:eastAsiaTheme="minorEastAsia"/>
          <w:bCs/>
          <w:sz w:val="28"/>
          <w:szCs w:val="28"/>
          <w:lang w:eastAsia="zh-CN"/>
        </w:rPr>
        <w:t>.</w:t>
      </w:r>
    </w:p>
    <w:p w14:paraId="3DB7883C" w14:textId="67B0E194" w:rsidR="00F10AF1" w:rsidRDefault="00CC41B4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3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Исполнитель в течение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5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рабочих дней со дня предоставления</w:t>
      </w:r>
      <w:r w:rsidR="00F10AF1" w:rsidRPr="00F10AF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F10AF1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устных разъяснений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F10AF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и ответов, предусмотренных пунктами </w:t>
      </w:r>
      <w:r w:rsidR="00382B22">
        <w:rPr>
          <w:rFonts w:ascii="Times New Roman" w:eastAsiaTheme="minorEastAsia" w:hAnsi="Times New Roman"/>
          <w:bCs/>
          <w:sz w:val="28"/>
          <w:szCs w:val="28"/>
          <w:lang w:eastAsia="zh-CN"/>
        </w:rPr>
        <w:t>11</w:t>
      </w:r>
      <w:r w:rsidR="00F10AF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 1</w:t>
      </w:r>
      <w:r w:rsidR="00382B22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F10AF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настоящего Порядка, </w:t>
      </w:r>
    </w:p>
    <w:p w14:paraId="33E5B791" w14:textId="53FCB1B9" w:rsidR="000E1F56" w:rsidRPr="000E1F56" w:rsidRDefault="000E1F56" w:rsidP="00F10AF1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вносит</w:t>
      </w:r>
      <w:r w:rsidR="0073557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F10AF1">
        <w:rPr>
          <w:rFonts w:ascii="Times New Roman" w:eastAsiaTheme="minorEastAsia" w:hAnsi="Times New Roman"/>
          <w:bCs/>
          <w:sz w:val="28"/>
          <w:szCs w:val="28"/>
          <w:lang w:eastAsia="zh-CN"/>
        </w:rPr>
        <w:t>соответствующую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информацию в 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>ПОС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78A19250" w14:textId="7ED12671" w:rsidR="000E1F56" w:rsidRPr="000E1F56" w:rsidRDefault="00CC41B4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4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Удовлетворенность заявителя 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ответом исполнителя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определяется в 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ПОС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по пятибалльной шкале </w:t>
      </w:r>
      <w:r w:rsidR="0073557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оценок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до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5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6976FC53" w14:textId="09D68D73" w:rsidR="000E1F56" w:rsidRPr="000E1F56" w:rsidRDefault="000E1F56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В случае если ответ на обращение в 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>ПОС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получил от заявителя оценку </w:t>
      </w:r>
      <w:r w:rsidR="00CC41B4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CC41B4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</w:t>
      </w:r>
      <w:r w:rsidR="00CC41B4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CC41B4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или </w:t>
      </w:r>
      <w:r w:rsidR="00CC41B4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3</w:t>
      </w:r>
      <w:r w:rsidR="00CC41B4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единый центр направляет заявителю письменный запрос </w:t>
      </w:r>
      <w:r w:rsidR="00A34394">
        <w:rPr>
          <w:rFonts w:ascii="Times New Roman" w:eastAsiaTheme="minorEastAsia" w:hAnsi="Times New Roman"/>
          <w:bCs/>
          <w:sz w:val="28"/>
          <w:szCs w:val="28"/>
          <w:lang w:eastAsia="zh-CN"/>
        </w:rPr>
        <w:t>для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получения от него письменной позиции о причинах низкой удовлетворенности пред</w:t>
      </w:r>
      <w:r w:rsidR="00382B22">
        <w:rPr>
          <w:rFonts w:ascii="Times New Roman" w:eastAsiaTheme="minorEastAsia" w:hAnsi="Times New Roman"/>
          <w:bCs/>
          <w:sz w:val="28"/>
          <w:szCs w:val="28"/>
          <w:lang w:eastAsia="zh-CN"/>
        </w:rPr>
        <w:t>оставленным ответом на обращения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</w:t>
      </w:r>
      <w:r w:rsidR="00382B22">
        <w:rPr>
          <w:rFonts w:ascii="Times New Roman" w:eastAsiaTheme="minorEastAsia" w:hAnsi="Times New Roman"/>
          <w:bCs/>
          <w:sz w:val="28"/>
          <w:szCs w:val="28"/>
          <w:lang w:eastAsia="zh-CN"/>
        </w:rPr>
        <w:t>предусмотренные пунктами 11 и 12 настоящего Порядка.</w:t>
      </w:r>
      <w:r w:rsidR="00382B22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382B2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При поступлении от заявителя позиции </w:t>
      </w:r>
      <w:r w:rsidR="00051BA0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о причинах низкой удовлетворенности пред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оставленным ответом на обращения 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единый центр проводит анализ причин низкой удовлетворенности ответом.</w:t>
      </w:r>
    </w:p>
    <w:p w14:paraId="14BAE056" w14:textId="5223E0C9" w:rsidR="000E1F56" w:rsidRPr="000E1F56" w:rsidRDefault="000E1F56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Письменная позиция заявителя об удовлетворенности ответом вносится единым центром в 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>ПОС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603CF119" w14:textId="3D281347" w:rsidR="000E1F56" w:rsidRPr="000E1F56" w:rsidRDefault="00CC41B4" w:rsidP="00A4247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5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 Заявитель в случае неудовлетворенности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устным разъяснением и </w:t>
      </w:r>
      <w:r w:rsidR="00A42472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ответом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>,</w:t>
      </w:r>
      <w:r w:rsidR="00A42472" w:rsidRP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>предусмотренным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>и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пунктами 1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 1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настоящего Порядка, вправе повторно направить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обращение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 рассмотрение посредством ПОС.</w:t>
      </w:r>
    </w:p>
    <w:p w14:paraId="1CFA2C38" w14:textId="57953101" w:rsidR="000E1F56" w:rsidRPr="000E1F56" w:rsidRDefault="00CC41B4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6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Повторное рассмотрение 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обращени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>я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осуществляет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>ся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исполнител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>ем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и (или)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едины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>м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центр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>ом с привлечением исполнителя в сроки, указанные в пунктах 1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 1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A42472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настоящего Порядка.</w:t>
      </w:r>
    </w:p>
    <w:p w14:paraId="447F158B" w14:textId="06B51AF4" w:rsidR="000E1F56" w:rsidRPr="000E1F56" w:rsidRDefault="00586EAC" w:rsidP="00834C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17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В случае 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>невозможности рассмотрения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обращени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я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консультаци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>я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или обращени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>я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помощь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в 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срок,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установленный 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пунктами 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11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 1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настоящего Порядка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, исполнитель при подготовке ответа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заявителю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выбирает в 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>ПОС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тип ответа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отложено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 указывает дату, до которой отложено рассмотрение обращения. Срок, на который может быть отложено рассмотрение обращения, составля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>ет не более 30 календарных дней, со дня завершения срока рассмотрения обращения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,</w:t>
      </w:r>
      <w:r w:rsidR="00051BA0" w:rsidRP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предусмотренного пунктами 11 и 12 настоящего Порядка</w:t>
      </w:r>
      <w:r w:rsidR="00C356A7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</w:p>
    <w:p w14:paraId="5A6A4DFC" w14:textId="7930FA26" w:rsidR="000E1F56" w:rsidRPr="000E1F56" w:rsidRDefault="00586EAC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18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 Обращени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я,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указанные в пунктах 11 и 12 настоящего Порядка,</w:t>
      </w:r>
      <w:r w:rsidR="00051BA0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счита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ю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тся закрытым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>и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в следующих случаях:</w:t>
      </w:r>
    </w:p>
    <w:p w14:paraId="3B3EAA3E" w14:textId="6CE6FC63" w:rsidR="000E1F56" w:rsidRPr="000E1F56" w:rsidRDefault="000E1F56" w:rsidP="00834C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если </w:t>
      </w:r>
      <w:r w:rsidR="00BF3B4F"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заявитель удовлет</w:t>
      </w:r>
      <w:r w:rsidR="00834C81"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ворен устным разъяснением и ответом исполнителя и получена оценка</w:t>
      </w:r>
      <w:r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="0000314A"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«</w:t>
      </w:r>
      <w:r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4</w:t>
      </w:r>
      <w:r w:rsidR="0000314A"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»</w:t>
      </w:r>
      <w:r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или </w:t>
      </w:r>
      <w:r w:rsidR="0000314A"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«</w:t>
      </w:r>
      <w:r w:rsidRPr="00586EAC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5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834C81">
        <w:rPr>
          <w:rFonts w:ascii="Times New Roman" w:eastAsiaTheme="minorEastAsia" w:hAnsi="Times New Roman"/>
          <w:bCs/>
          <w:sz w:val="28"/>
          <w:szCs w:val="28"/>
          <w:lang w:eastAsia="zh-CN"/>
        </w:rPr>
        <w:t>;</w:t>
      </w:r>
    </w:p>
    <w:p w14:paraId="58C054A1" w14:textId="15428359" w:rsidR="000E1F56" w:rsidRPr="000E1F56" w:rsidRDefault="000E1F56" w:rsidP="00834C8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если в </w:t>
      </w:r>
      <w:r w:rsidR="003F6BC3">
        <w:rPr>
          <w:rFonts w:ascii="Times New Roman" w:eastAsiaTheme="minorEastAsia" w:hAnsi="Times New Roman"/>
          <w:bCs/>
          <w:sz w:val="28"/>
          <w:szCs w:val="28"/>
          <w:lang w:eastAsia="zh-CN"/>
        </w:rPr>
        <w:t>ПОС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отсутствует оценка</w:t>
      </w:r>
      <w:r w:rsidR="00051BA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удовлетворенности</w:t>
      </w:r>
      <w:r w:rsidR="00644B0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заявителя 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и при этом обращение не </w:t>
      </w:r>
      <w:r w:rsidR="00644B06">
        <w:rPr>
          <w:rFonts w:ascii="Times New Roman" w:eastAsiaTheme="minorEastAsia" w:hAnsi="Times New Roman"/>
          <w:bCs/>
          <w:sz w:val="28"/>
          <w:szCs w:val="28"/>
          <w:lang w:eastAsia="zh-CN"/>
        </w:rPr>
        <w:t>направлено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заявителем на повторное рассмотрение.</w:t>
      </w:r>
    </w:p>
    <w:p w14:paraId="657B896A" w14:textId="1297B2F2" w:rsidR="000E1F56" w:rsidRPr="000E1F56" w:rsidRDefault="00586EAC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19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 В приоритетном порядке рассматриваются:</w:t>
      </w:r>
    </w:p>
    <w:p w14:paraId="4F539B0C" w14:textId="77777777" w:rsidR="000E1F56" w:rsidRPr="000E1F56" w:rsidRDefault="000E1F56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обращения, поступившие на повторное рассмотрение;</w:t>
      </w:r>
    </w:p>
    <w:p w14:paraId="556FF8A5" w14:textId="2B5D45FD" w:rsidR="000E1F56" w:rsidRPr="000E1F56" w:rsidRDefault="000E1F56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обращения, поступившие от заявителей, реализующих или планирующих реализацию инвестиционного проекта на территории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Республики Алтай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по приоритетным направлениям инвестиционного развития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Республики Алтай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определенным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в соответствии с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Инвестиционной декларации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Республики Алтай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утвержденной распоряжением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Правительства Республики Алтай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от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13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марта 2023 г. № 144-рГ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;</w:t>
      </w:r>
    </w:p>
    <w:p w14:paraId="43A2B140" w14:textId="16C9332F" w:rsidR="000E1F56" w:rsidRPr="000E1F56" w:rsidRDefault="000E1F56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обращения по вопросам, связанным с возможностью возникновения несостоятельности (банкротства) заявителей и (или) прекращения их деятельности на территории </w:t>
      </w:r>
      <w:r w:rsidR="00926848">
        <w:rPr>
          <w:rFonts w:ascii="Times New Roman" w:eastAsiaTheme="minorEastAsia" w:hAnsi="Times New Roman"/>
          <w:bCs/>
          <w:sz w:val="28"/>
          <w:szCs w:val="28"/>
          <w:lang w:eastAsia="zh-CN"/>
        </w:rPr>
        <w:t>Республики Алтай</w:t>
      </w:r>
      <w:r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5376BFE3" w14:textId="273F647F" w:rsidR="000E1F56" w:rsidRPr="000E1F56" w:rsidRDefault="0000314A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0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В случае если заявитель не удовлетворен </w:t>
      </w:r>
      <w:r w:rsidR="00644B06">
        <w:rPr>
          <w:rFonts w:ascii="Times New Roman" w:eastAsiaTheme="minorEastAsia" w:hAnsi="Times New Roman"/>
          <w:bCs/>
          <w:sz w:val="28"/>
          <w:szCs w:val="28"/>
          <w:lang w:eastAsia="zh-CN"/>
        </w:rPr>
        <w:t>устным разъяснением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>,</w:t>
      </w:r>
      <w:r w:rsidR="00644B0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ответом исполнителя или единого центра по итогам повторного рассмотрения обращения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>, указанн</w:t>
      </w:r>
      <w:r w:rsidR="00A34394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ого 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>в пункт</w:t>
      </w:r>
      <w:r w:rsidR="00A34394">
        <w:rPr>
          <w:rFonts w:ascii="Times New Roman" w:eastAsiaTheme="minorEastAsia" w:hAnsi="Times New Roman"/>
          <w:bCs/>
          <w:sz w:val="28"/>
          <w:szCs w:val="28"/>
          <w:lang w:eastAsia="zh-CN"/>
        </w:rPr>
        <w:t>е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1</w:t>
      </w:r>
      <w:r w:rsidR="00A34394">
        <w:rPr>
          <w:rFonts w:ascii="Times New Roman" w:eastAsiaTheme="minorEastAsia" w:hAnsi="Times New Roman"/>
          <w:bCs/>
          <w:sz w:val="28"/>
          <w:szCs w:val="28"/>
          <w:lang w:eastAsia="zh-CN"/>
        </w:rPr>
        <w:t>5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настоящего Порядка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то указанные 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обращени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>я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8E1CA8">
        <w:rPr>
          <w:rFonts w:ascii="Times New Roman" w:eastAsiaTheme="minorEastAsia" w:hAnsi="Times New Roman"/>
          <w:bCs/>
          <w:sz w:val="28"/>
          <w:szCs w:val="28"/>
          <w:lang w:eastAsia="zh-CN"/>
        </w:rPr>
        <w:t>направляются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 рассмотрение рабочей группы.</w:t>
      </w:r>
    </w:p>
    <w:p w14:paraId="71C21198" w14:textId="38FFAD88" w:rsidR="000E1F56" w:rsidRDefault="0000314A" w:rsidP="008E1CA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1</w:t>
      </w:r>
      <w:r w:rsidR="000E1F56" w:rsidRPr="000E1F56">
        <w:rPr>
          <w:rFonts w:ascii="Times New Roman" w:eastAsiaTheme="minorEastAsia" w:hAnsi="Times New Roman"/>
          <w:bCs/>
          <w:sz w:val="28"/>
          <w:szCs w:val="28"/>
          <w:lang w:eastAsia="zh-CN"/>
        </w:rPr>
        <w:t>. Заседания рабочей группы</w:t>
      </w:r>
      <w:r w:rsidR="000E1F56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, проводятся в </w:t>
      </w:r>
      <w:r w:rsidR="000E1F56" w:rsidRPr="00AD20B3">
        <w:rPr>
          <w:rFonts w:ascii="Times New Roman" w:eastAsiaTheme="minorEastAsia" w:hAnsi="Times New Roman"/>
          <w:bCs/>
          <w:sz w:val="28"/>
          <w:szCs w:val="28"/>
          <w:lang w:eastAsia="zh-CN"/>
        </w:rPr>
        <w:t>соответствии с Положением</w:t>
      </w:r>
      <w:r w:rsidR="000E1F56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о рабочей группе.</w:t>
      </w:r>
    </w:p>
    <w:p w14:paraId="5DDB46D9" w14:textId="77777777" w:rsidR="005E1D20" w:rsidRPr="0037497B" w:rsidRDefault="005E1D20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1715D6E4" w14:textId="41871354" w:rsidR="0000314A" w:rsidRPr="00D37AAA" w:rsidRDefault="0000314A" w:rsidP="0000314A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D37AAA">
        <w:rPr>
          <w:rFonts w:ascii="Times New Roman" w:eastAsiaTheme="minorEastAsia" w:hAnsi="Times New Roman"/>
          <w:b/>
          <w:bCs/>
          <w:sz w:val="28"/>
          <w:szCs w:val="28"/>
          <w:lang w:val="en-US" w:eastAsia="zh-CN"/>
        </w:rPr>
        <w:t>V</w:t>
      </w:r>
      <w:r w:rsidRPr="00D37AA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. Порядок и сроки рассмотрения обращений «проблемы»</w:t>
      </w:r>
    </w:p>
    <w:p w14:paraId="3BE1A692" w14:textId="77777777" w:rsidR="0000314A" w:rsidRPr="00D37AAA" w:rsidRDefault="0000314A" w:rsidP="0000314A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D37AA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и системных вопросов</w:t>
      </w:r>
    </w:p>
    <w:p w14:paraId="5ABFFC4A" w14:textId="77777777" w:rsidR="0000314A" w:rsidRPr="0037497B" w:rsidRDefault="0000314A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123E8724" w14:textId="24F99612" w:rsidR="0000314A" w:rsidRPr="0037497B" w:rsidRDefault="0000314A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Срок рассмотрения обращений </w:t>
      </w:r>
      <w:r w:rsidR="00926848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проблемы</w:t>
      </w:r>
      <w:r w:rsidR="00926848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8E1CA8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составляет 30 календарных дней</w:t>
      </w:r>
      <w:r w:rsidR="006E7D2F" w:rsidRPr="006E7D2F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6E7D2F"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>с</w:t>
      </w:r>
      <w:r w:rsidR="006E7D2F">
        <w:rPr>
          <w:rFonts w:ascii="Times New Roman" w:eastAsiaTheme="minorEastAsia" w:hAnsi="Times New Roman"/>
          <w:bCs/>
          <w:sz w:val="28"/>
          <w:szCs w:val="28"/>
          <w:lang w:eastAsia="zh-CN"/>
        </w:rPr>
        <w:t>о</w:t>
      </w:r>
      <w:r w:rsidR="006E7D2F"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6E7D2F">
        <w:rPr>
          <w:rFonts w:ascii="Times New Roman" w:eastAsiaTheme="minorEastAsia" w:hAnsi="Times New Roman"/>
          <w:bCs/>
          <w:sz w:val="28"/>
          <w:szCs w:val="28"/>
          <w:lang w:eastAsia="zh-CN"/>
        </w:rPr>
        <w:t>дня</w:t>
      </w:r>
      <w:r w:rsidR="006E7D2F"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автоматической регистрации обращения в ПОС</w:t>
      </w: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03D324E8" w14:textId="1E651721" w:rsidR="0000314A" w:rsidRPr="0037497B" w:rsidRDefault="00926848" w:rsidP="00D37AA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3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Обращения </w:t>
      </w: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проблемы</w:t>
      </w: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>, в течение 3 рабочих дней</w:t>
      </w:r>
      <w:r w:rsidR="00A052CC">
        <w:rPr>
          <w:rFonts w:ascii="Times New Roman" w:eastAsiaTheme="minorEastAsia" w:hAnsi="Times New Roman"/>
          <w:bCs/>
          <w:sz w:val="28"/>
          <w:szCs w:val="28"/>
          <w:lang w:eastAsia="zh-CN"/>
        </w:rPr>
        <w:t>,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A052CC"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>с</w:t>
      </w:r>
      <w:r w:rsidR="00A052CC">
        <w:rPr>
          <w:rFonts w:ascii="Times New Roman" w:eastAsiaTheme="minorEastAsia" w:hAnsi="Times New Roman"/>
          <w:bCs/>
          <w:sz w:val="28"/>
          <w:szCs w:val="28"/>
          <w:lang w:eastAsia="zh-CN"/>
        </w:rPr>
        <w:t>о</w:t>
      </w:r>
      <w:r w:rsidR="00A052CC"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A052CC">
        <w:rPr>
          <w:rFonts w:ascii="Times New Roman" w:eastAsiaTheme="minorEastAsia" w:hAnsi="Times New Roman"/>
          <w:bCs/>
          <w:sz w:val="28"/>
          <w:szCs w:val="28"/>
          <w:lang w:eastAsia="zh-CN"/>
        </w:rPr>
        <w:t>дня</w:t>
      </w:r>
      <w:r w:rsidR="00A052CC" w:rsidRPr="00A752BE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автоматической регистрации обращения в ПОС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>,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 системные вопросы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направляются </w:t>
      </w:r>
      <w:r w:rsidR="005D4099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исполнителем 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председателю рабочей группы </w:t>
      </w:r>
      <w:r w:rsidR="00A052C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для </w:t>
      </w:r>
      <w:r w:rsidR="00A052CC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рассмотрения</w:t>
      </w:r>
      <w:r w:rsidR="00D37AA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на заседани</w:t>
      </w:r>
      <w:r w:rsidR="005D4099">
        <w:rPr>
          <w:rFonts w:ascii="Times New Roman" w:eastAsiaTheme="minorEastAsia" w:hAnsi="Times New Roman"/>
          <w:bCs/>
          <w:sz w:val="28"/>
          <w:szCs w:val="28"/>
          <w:lang w:eastAsia="zh-CN"/>
        </w:rPr>
        <w:t>и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рабочей группы</w:t>
      </w: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.</w:t>
      </w:r>
    </w:p>
    <w:p w14:paraId="002A93D3" w14:textId="0A70D315" w:rsidR="005D4099" w:rsidRDefault="00926848" w:rsidP="005D409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4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В случае если обращение </w:t>
      </w:r>
      <w:r w:rsidR="00AA21D7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проблемы</w:t>
      </w:r>
      <w:r w:rsidR="00AA21D7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0314A" w:rsidRPr="0037497B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не может быть рассмотрено в срок, указанный в </w:t>
      </w:r>
      <w:r w:rsidR="0000314A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пункте </w:t>
      </w:r>
      <w:r w:rsidR="00AA21D7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00314A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настоящего Порядка, </w:t>
      </w:r>
      <w:r w:rsidR="005D4099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председатель</w:t>
      </w:r>
      <w:r w:rsidR="0000314A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рабочей группы принимает решение о продлении срока рассмотрения такого о</w:t>
      </w:r>
      <w:r w:rsidR="003F6BC3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бращения до 30 календарных дней, </w:t>
      </w:r>
      <w:r w:rsidR="006E7D2F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со дня завершения срока рассмотрения обращения</w:t>
      </w:r>
      <w:r w:rsidR="005D4099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, указанного в пункте 2</w:t>
      </w:r>
      <w:r w:rsidR="00586EAC" w:rsidRP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D4099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настоящего Порядка.</w:t>
      </w:r>
      <w:r w:rsidR="005D4099" w:rsidRPr="005D4099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5D4099">
        <w:rPr>
          <w:rFonts w:ascii="Times New Roman" w:eastAsiaTheme="minorEastAsia" w:hAnsi="Times New Roman"/>
          <w:bCs/>
          <w:sz w:val="28"/>
          <w:szCs w:val="28"/>
          <w:lang w:eastAsia="zh-CN"/>
        </w:rPr>
        <w:t>Решение рабочей группы оформляется протоколом заседания рабочей группы</w:t>
      </w:r>
      <w:r w:rsidR="00DF67B3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(далее – протокол)</w:t>
      </w:r>
      <w:r w:rsidR="005D4099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и подписывается ее председателем.</w:t>
      </w:r>
    </w:p>
    <w:p w14:paraId="563B8DEE" w14:textId="253C1B00" w:rsidR="0000314A" w:rsidRDefault="005D4099" w:rsidP="005D409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Секретарь рабочей группы уведомляет заявителя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посредством ПОС </w:t>
      </w:r>
      <w:r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о продлении срока рассмотрения обращения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проблемы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в течение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5</w:t>
      </w:r>
      <w:r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рабочих дней со дня принятия такого решения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председател</w:t>
      </w:r>
      <w:r w:rsidR="008E1CA8">
        <w:rPr>
          <w:rFonts w:ascii="Times New Roman" w:eastAsiaTheme="minorEastAsia" w:hAnsi="Times New Roman"/>
          <w:bCs/>
          <w:sz w:val="28"/>
          <w:szCs w:val="28"/>
          <w:lang w:eastAsia="zh-CN"/>
        </w:rPr>
        <w:t>ем</w:t>
      </w:r>
      <w:r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рабочей группы.</w:t>
      </w:r>
    </w:p>
    <w:p w14:paraId="0E7B8107" w14:textId="7EDFDD19" w:rsidR="0000314A" w:rsidRPr="0000314A" w:rsidRDefault="00926848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5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Заявитель принимает участие в заседании рабочей группы для обсуждения его обращения 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проблемы</w:t>
      </w: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, за исключением случаев, когда руководитель рабочей группы принял решение о проведении заседания без участия заявителя.</w:t>
      </w:r>
    </w:p>
    <w:p w14:paraId="33119C45" w14:textId="628DBA4E" w:rsidR="0000314A" w:rsidRPr="0000314A" w:rsidRDefault="00926848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2</w:t>
      </w:r>
      <w:r w:rsidR="00586EAC">
        <w:rPr>
          <w:rFonts w:ascii="Times New Roman" w:eastAsiaTheme="minorEastAsia" w:hAnsi="Times New Roman"/>
          <w:bCs/>
          <w:sz w:val="28"/>
          <w:szCs w:val="28"/>
          <w:lang w:eastAsia="zh-CN"/>
        </w:rPr>
        <w:t>6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. Выписка из протокола направляется секретарем рабочей группы заявителю и иным приглашенным на заседание рабочей группы лицам в течение</w:t>
      </w:r>
      <w:r w:rsidR="005D4099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5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рабочих дней со дня подписания протокола.</w:t>
      </w:r>
    </w:p>
    <w:p w14:paraId="62956F39" w14:textId="464AD5F9" w:rsidR="00926848" w:rsidRPr="00926848" w:rsidRDefault="00586EAC" w:rsidP="0092684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27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Информация о решении рабочей группы по обращению </w:t>
      </w:r>
      <w:r w:rsidR="00926848">
        <w:rPr>
          <w:rFonts w:ascii="Times New Roman" w:eastAsiaTheme="minorEastAsia" w:hAnsi="Times New Roman"/>
          <w:bCs/>
          <w:sz w:val="28"/>
          <w:szCs w:val="28"/>
          <w:lang w:eastAsia="zh-CN"/>
        </w:rPr>
        <w:t>«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>проблемы</w:t>
      </w:r>
      <w:r w:rsidR="00926848">
        <w:rPr>
          <w:rFonts w:ascii="Times New Roman" w:eastAsiaTheme="minorEastAsia" w:hAnsi="Times New Roman"/>
          <w:bCs/>
          <w:sz w:val="28"/>
          <w:szCs w:val="28"/>
          <w:lang w:eastAsia="zh-CN"/>
        </w:rPr>
        <w:t>»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вносится секретарем рабочей группы в </w:t>
      </w:r>
      <w:r w:rsidR="006E7D2F">
        <w:rPr>
          <w:rFonts w:ascii="Times New Roman" w:eastAsiaTheme="minorEastAsia" w:hAnsi="Times New Roman"/>
          <w:bCs/>
          <w:sz w:val="28"/>
          <w:szCs w:val="28"/>
          <w:lang w:eastAsia="zh-CN"/>
        </w:rPr>
        <w:t>ПОС</w:t>
      </w:r>
      <w:r w:rsidR="0000314A"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  <w:r w:rsidR="0000314A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в течение </w:t>
      </w:r>
      <w:r w:rsidR="005D409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5</w:t>
      </w:r>
      <w:r w:rsidR="0000314A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рабочих дней </w:t>
      </w:r>
      <w:r w:rsidR="00926848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со дня принятия такого решения.</w:t>
      </w:r>
    </w:p>
    <w:p w14:paraId="609063E4" w14:textId="5E98D8F3" w:rsidR="0000314A" w:rsidRPr="0037497B" w:rsidRDefault="00586EAC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28</w:t>
      </w:r>
      <w:r w:rsidR="0000314A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. В случае если заявитель сообщил об удовлетворенности решением рабочей группы по своему обращению </w:t>
      </w:r>
      <w:r w:rsidR="00926848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«</w:t>
      </w:r>
      <w:r w:rsidR="0000314A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проблемы</w:t>
      </w:r>
      <w:r w:rsidR="00926848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»</w:t>
      </w:r>
      <w:r w:rsidR="0000314A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или если заявителем в течение 30 календарных дней со дня направления выписки из протокола не представлена позиция по решению его обращения </w:t>
      </w:r>
      <w:r w:rsidR="00926848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«</w:t>
      </w:r>
      <w:r w:rsidR="0000314A" w:rsidRPr="0092684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проб</w:t>
      </w:r>
      <w:r w:rsidR="0000314A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лемы</w:t>
      </w:r>
      <w:r w:rsidR="00926848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»</w:t>
      </w:r>
      <w:r w:rsidR="0000314A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, такое обращение считается закрытым.</w:t>
      </w:r>
    </w:p>
    <w:p w14:paraId="1BB85267" w14:textId="53680762" w:rsidR="000A0933" w:rsidRDefault="00586EAC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29</w:t>
      </w:r>
      <w:r w:rsidR="0000314A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. В случае несогласия с решением рабочей группы заявитель вправе направить обращение в Инвестиционный комитет</w:t>
      </w:r>
      <w:r w:rsidR="00AA21D7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Республики Алтай, созданный </w:t>
      </w:r>
      <w:r w:rsidR="008E1CA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Распоряжением</w:t>
      </w:r>
      <w:r w:rsidR="000A0933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, для рассмотрения и принятия решения по обращению «проблемы» заявителя.</w:t>
      </w:r>
      <w:r w:rsidR="000A0933" w:rsidRPr="000A0933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 </w:t>
      </w:r>
    </w:p>
    <w:p w14:paraId="1E5512AC" w14:textId="03777F7A" w:rsidR="0000314A" w:rsidRPr="00985D1F" w:rsidRDefault="000A0933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Cs/>
          <w:sz w:val="28"/>
          <w:szCs w:val="28"/>
          <w:lang w:eastAsia="zh-CN"/>
        </w:rPr>
        <w:t>З</w:t>
      </w:r>
      <w:r w:rsidRPr="0000314A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аседание </w:t>
      </w:r>
      <w:r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Инвестиционного комитета Республики Алтай по рассмотрению обращений «проблемы» и системных вопросов проводится в соответствии с П</w:t>
      </w:r>
      <w:r w:rsidR="00985D1F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орядком работы </w:t>
      </w:r>
      <w:r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Инвестиционн</w:t>
      </w:r>
      <w:r w:rsidR="00985D1F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ого</w:t>
      </w:r>
      <w:r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комитет</w:t>
      </w:r>
      <w:r w:rsidR="00985D1F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а, установленн</w:t>
      </w:r>
      <w:r w:rsidR="008E1CA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ы</w:t>
      </w:r>
      <w:r w:rsidR="00985D1F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м </w:t>
      </w:r>
      <w:r w:rsidR="008E1CA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</w:t>
      </w:r>
      <w:r w:rsidR="00985D1F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аспоряжением.</w:t>
      </w:r>
    </w:p>
    <w:p w14:paraId="40BA1917" w14:textId="23678A65" w:rsidR="0000314A" w:rsidRPr="00985D1F" w:rsidRDefault="0091631C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3</w:t>
      </w:r>
      <w:r w:rsidR="00586EAC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0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. 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ешени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е 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Инвестиционного комитета </w:t>
      </w:r>
      <w:r w:rsidR="00AA21D7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Республики Алтай 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направляется секретарем Инвестиционного комитета</w:t>
      </w:r>
      <w:r w:rsidR="00AA21D7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Республики Алтай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в рабочую группу в течение 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5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рабочих дней со дня</w:t>
      </w:r>
      <w:r w:rsidR="008E1CA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его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принятия.</w:t>
      </w:r>
    </w:p>
    <w:p w14:paraId="3E616192" w14:textId="4E7F7173" w:rsidR="0000314A" w:rsidRPr="00985D1F" w:rsidRDefault="0091631C" w:rsidP="0000314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3</w:t>
      </w:r>
      <w:r w:rsidR="00586EAC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1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. 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Р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ешени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е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Инвестиционного комитета</w:t>
      </w:r>
      <w:r w:rsidR="00AA21D7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Республики Алтай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, поступившее в соответствии с пунктом 3</w:t>
      </w:r>
      <w:r w:rsidR="00586EAC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0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настоящего Порядка, 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вносится секретарем рабочей группы в </w:t>
      </w:r>
      <w:r w:rsidR="00AA21D7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СПО 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в течение</w:t>
      </w:r>
      <w:r w:rsidR="000A0933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5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рабочих дней со дня поступления </w:t>
      </w:r>
      <w:r w:rsidR="002E4982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указанного решения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.</w:t>
      </w:r>
    </w:p>
    <w:p w14:paraId="310C44CE" w14:textId="1FF8D2FD" w:rsidR="000E1F56" w:rsidRDefault="0091631C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3</w:t>
      </w:r>
      <w:r w:rsidR="00586EAC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2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. В случае если системный вопрос не решен по итогам заседания рабочей группы или решение рабочей группы по системному вопросу не исполнено, системный вопрос выносится на рассмотрение Инвестиционного комитета</w:t>
      </w:r>
      <w:r w:rsidR="00AA21D7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Республики Алтай</w:t>
      </w:r>
      <w:r w:rsidR="0000314A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.</w:t>
      </w:r>
      <w:r w:rsidR="002E4982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Рассмотрение системных вопросов Инвестиционным комитетом Республики Алтай осуществляется в соответствии с </w:t>
      </w:r>
      <w:r w:rsidR="00985D1F" w:rsidRPr="00985D1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Порядком работы Инвестиционного комитета, установлен</w:t>
      </w:r>
      <w:r w:rsidR="008E1CA8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ном Распоряжением.</w:t>
      </w:r>
    </w:p>
    <w:p w14:paraId="37FD47F8" w14:textId="77777777" w:rsidR="00985D1F" w:rsidRDefault="00985D1F" w:rsidP="000E1F5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09005C33" w14:textId="2FD1B4B5" w:rsidR="00C13060" w:rsidRPr="002E4982" w:rsidRDefault="0091631C" w:rsidP="00C1306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2E4982">
        <w:rPr>
          <w:rFonts w:ascii="Times New Roman" w:eastAsiaTheme="minorEastAsia" w:hAnsi="Times New Roman"/>
          <w:b/>
          <w:bCs/>
          <w:sz w:val="28"/>
          <w:szCs w:val="28"/>
          <w:lang w:val="en-US" w:eastAsia="zh-CN"/>
        </w:rPr>
        <w:t>VI</w:t>
      </w:r>
      <w:r w:rsidR="00C13060" w:rsidRPr="002E4982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. Оценка эффективности механизма обратной связи</w:t>
      </w:r>
    </w:p>
    <w:p w14:paraId="63DC43CB" w14:textId="77777777" w:rsidR="00D61BA8" w:rsidRDefault="00D61BA8" w:rsidP="00C13060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6FEEA972" w14:textId="6839DB17" w:rsidR="00C13060" w:rsidRPr="0037497B" w:rsidRDefault="0091631C" w:rsidP="004F561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91631C">
        <w:rPr>
          <w:rFonts w:ascii="Times New Roman" w:eastAsiaTheme="minorEastAsia" w:hAnsi="Times New Roman"/>
          <w:bCs/>
          <w:sz w:val="28"/>
          <w:szCs w:val="28"/>
          <w:lang w:eastAsia="zh-CN"/>
        </w:rPr>
        <w:t>3</w:t>
      </w:r>
      <w:r w:rsidR="00DA4F39">
        <w:rPr>
          <w:rFonts w:ascii="Times New Roman" w:eastAsiaTheme="minorEastAsia" w:hAnsi="Times New Roman"/>
          <w:bCs/>
          <w:sz w:val="28"/>
          <w:szCs w:val="28"/>
          <w:lang w:eastAsia="zh-CN"/>
        </w:rPr>
        <w:t>3</w:t>
      </w:r>
      <w:r w:rsidR="00C13060" w:rsidRPr="00C1306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В целях оценки эффективности реализации механизма обратной связи </w:t>
      </w:r>
      <w:r w:rsidR="00C1306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в Республике Алтай </w:t>
      </w:r>
      <w:r w:rsidR="00C13060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единый центр формирует отчет по форме согласно </w:t>
      </w:r>
      <w:proofErr w:type="gramStart"/>
      <w:r w:rsidR="005E1D20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приложению</w:t>
      </w:r>
      <w:proofErr w:type="gramEnd"/>
      <w:r w:rsidR="00C13060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к </w:t>
      </w:r>
      <w:r w:rsidR="006E7D2F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настоящему </w:t>
      </w:r>
      <w:r w:rsidR="00C13060" w:rsidRPr="0037497B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Порядку.</w:t>
      </w:r>
    </w:p>
    <w:p w14:paraId="258F7EDA" w14:textId="1423CC55" w:rsidR="002E4982" w:rsidRDefault="0091631C" w:rsidP="004F561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91631C">
        <w:rPr>
          <w:rFonts w:ascii="Times New Roman" w:eastAsiaTheme="minorEastAsia" w:hAnsi="Times New Roman"/>
          <w:bCs/>
          <w:sz w:val="28"/>
          <w:szCs w:val="28"/>
          <w:lang w:eastAsia="zh-CN"/>
        </w:rPr>
        <w:t>3</w:t>
      </w:r>
      <w:r w:rsidR="00DA4F39">
        <w:rPr>
          <w:rFonts w:ascii="Times New Roman" w:eastAsiaTheme="minorEastAsia" w:hAnsi="Times New Roman"/>
          <w:bCs/>
          <w:sz w:val="28"/>
          <w:szCs w:val="28"/>
          <w:lang w:eastAsia="zh-CN"/>
        </w:rPr>
        <w:t>4</w:t>
      </w:r>
      <w:r w:rsidR="00C13060" w:rsidRPr="00C1306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. Руководитель </w:t>
      </w:r>
      <w:r w:rsidR="00C13060" w:rsidRPr="004F5612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единого центра еженедельно </w:t>
      </w:r>
      <w:r w:rsidR="00043855" w:rsidRPr="006F5E57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в последний рабочий день недели (при наличии обращений)</w:t>
      </w:r>
      <w:r w:rsidR="00043855">
        <w:rPr>
          <w:sz w:val="24"/>
        </w:rPr>
        <w:t xml:space="preserve"> </w:t>
      </w:r>
      <w:r w:rsidR="00C13060" w:rsidRPr="004F5612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направляет отчет куратору единого центра</w:t>
      </w:r>
      <w:r w:rsidR="00043855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и </w:t>
      </w:r>
      <w:r w:rsidR="006F5E57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в </w:t>
      </w:r>
      <w:r w:rsidR="00043855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Министерств</w:t>
      </w:r>
      <w:r w:rsidR="002E4982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о</w:t>
      </w:r>
      <w:r w:rsidR="00043855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экономического развития Республики Алтай</w:t>
      </w:r>
      <w:r w:rsidR="002E4982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.</w:t>
      </w:r>
      <w:r w:rsidR="00C13060" w:rsidRPr="004F5612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</w:p>
    <w:p w14:paraId="31E774A0" w14:textId="62910496" w:rsidR="00C13060" w:rsidRPr="00DA4F39" w:rsidRDefault="002E4982" w:rsidP="004F561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</w:pPr>
      <w:r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Информаци</w:t>
      </w:r>
      <w:r w:rsidR="005E1D20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я</w:t>
      </w:r>
      <w:r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об обращениях, указанных в отчете единого центра </w:t>
      </w:r>
      <w:r w:rsidR="005E1D20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направляется</w:t>
      </w:r>
      <w:r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куратором единого ц</w:t>
      </w:r>
      <w:r w:rsidR="0036383A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ентра   Главе Республики Алтай </w:t>
      </w:r>
      <w:r w:rsidR="00C13060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ежемесячно</w:t>
      </w:r>
      <w:r w:rsidR="006F5E57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, до 5 числа месяца</w:t>
      </w:r>
      <w:r w:rsidR="0037497B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,</w:t>
      </w:r>
      <w:r w:rsidR="006F5E57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следующего за отчетным</w:t>
      </w:r>
      <w:r w:rsidR="00C13060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месяцем.</w:t>
      </w:r>
    </w:p>
    <w:p w14:paraId="1771DB7E" w14:textId="02C60DCE" w:rsidR="00C13060" w:rsidRPr="00C13060" w:rsidRDefault="0091631C" w:rsidP="004F561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3</w:t>
      </w:r>
      <w:r w:rsidR="00DA4F39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>5</w:t>
      </w:r>
      <w:r w:rsidR="00C13060" w:rsidRPr="00DA4F39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zh-CN"/>
        </w:rPr>
        <w:t xml:space="preserve">. Источником информации </w:t>
      </w:r>
      <w:r w:rsidR="00C13060" w:rsidRPr="00C13060">
        <w:rPr>
          <w:rFonts w:ascii="Times New Roman" w:eastAsiaTheme="minorEastAsia" w:hAnsi="Times New Roman"/>
          <w:bCs/>
          <w:sz w:val="28"/>
          <w:szCs w:val="28"/>
          <w:lang w:eastAsia="zh-CN"/>
        </w:rPr>
        <w:t>для подготовки отчета являются данные единого центра.</w:t>
      </w:r>
    </w:p>
    <w:p w14:paraId="26DDBA22" w14:textId="77777777" w:rsidR="00C13060" w:rsidRPr="00C13060" w:rsidRDefault="00C13060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233A6360" w14:textId="77777777" w:rsidR="00C13060" w:rsidRPr="00C13060" w:rsidRDefault="00C13060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1203161F" w14:textId="77777777" w:rsidR="00C13060" w:rsidRPr="00C13060" w:rsidRDefault="00C13060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1B74583D" w14:textId="4C39CAA4" w:rsidR="00C13060" w:rsidRDefault="00C13060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601FD9FB" w14:textId="429A80CD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3C4C0726" w14:textId="2CA724D8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233D4484" w14:textId="1696EB10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36C47777" w14:textId="053552E7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69BA18D8" w14:textId="7D7A33B0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41DD528" w14:textId="6D1DC1D6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29A22967" w14:textId="3E642078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223E76B5" w14:textId="281008E7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0A3242B0" w14:textId="26A65922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6B64744" w14:textId="7838B81A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32FBB58E" w14:textId="7485EC7D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0CE6D32" w14:textId="77777777" w:rsidR="0091631C" w:rsidRDefault="0091631C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01F53CDE" w14:textId="75575699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32A229C3" w14:textId="61C86559" w:rsidR="008E1CA8" w:rsidRDefault="008E1CA8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FE4F9D2" w14:textId="05C899AD" w:rsidR="008E1CA8" w:rsidRDefault="008E1CA8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7BBC35FF" w14:textId="5B2ECAA3" w:rsidR="008E1CA8" w:rsidRDefault="008E1CA8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2D20A575" w14:textId="53D8F13F" w:rsidR="008E1CA8" w:rsidRDefault="008E1CA8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36E7AD3D" w14:textId="34533745" w:rsidR="008E1CA8" w:rsidRDefault="008E1CA8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06A53EC5" w14:textId="24DF8882" w:rsidR="003630C1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2E849B33" w14:textId="0A65CD64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7E853DB5" w14:textId="388804D7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52E8319" w14:textId="62C788FE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1BDF5DBB" w14:textId="217A6F3B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7109F44F" w14:textId="267F331A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78D82BD5" w14:textId="5E93672F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7EA5D79" w14:textId="1E58311E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38611E3F" w14:textId="310FB333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425A87C4" w14:textId="77777777" w:rsidR="005779DF" w:rsidRDefault="005779DF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65431E1D" w14:textId="77777777" w:rsidR="0037497B" w:rsidRDefault="0037497B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0B1E3CF4" w14:textId="77777777" w:rsidR="003630C1" w:rsidRPr="00C13060" w:rsidRDefault="003630C1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969DFBF" w14:textId="2DB0B609" w:rsidR="00C13060" w:rsidRPr="00C13060" w:rsidRDefault="00C13060" w:rsidP="003630C1">
      <w:pPr>
        <w:spacing w:after="0" w:line="240" w:lineRule="auto"/>
        <w:ind w:left="5664"/>
        <w:jc w:val="center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C13060">
        <w:rPr>
          <w:rFonts w:ascii="Times New Roman" w:eastAsiaTheme="minorEastAsia" w:hAnsi="Times New Roman"/>
          <w:bCs/>
          <w:sz w:val="28"/>
          <w:szCs w:val="28"/>
          <w:lang w:eastAsia="zh-CN"/>
        </w:rPr>
        <w:t>П</w:t>
      </w:r>
      <w:r w:rsidR="005779DF" w:rsidRPr="00C13060">
        <w:rPr>
          <w:rFonts w:ascii="Times New Roman" w:eastAsiaTheme="minorEastAsia" w:hAnsi="Times New Roman"/>
          <w:bCs/>
          <w:sz w:val="28"/>
          <w:szCs w:val="28"/>
          <w:lang w:eastAsia="zh-CN"/>
        </w:rPr>
        <w:t>РИЛОЖЕНИЕ</w:t>
      </w:r>
    </w:p>
    <w:p w14:paraId="7AB7432C" w14:textId="6398DFAD" w:rsidR="003630C1" w:rsidRPr="006E4160" w:rsidRDefault="00C13060" w:rsidP="003630C1">
      <w:pPr>
        <w:spacing w:after="0" w:line="240" w:lineRule="auto"/>
        <w:ind w:left="5664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C13060">
        <w:rPr>
          <w:rFonts w:ascii="Times New Roman" w:eastAsiaTheme="minorEastAsia" w:hAnsi="Times New Roman"/>
          <w:bCs/>
          <w:sz w:val="28"/>
          <w:szCs w:val="28"/>
          <w:lang w:eastAsia="zh-CN"/>
        </w:rPr>
        <w:t xml:space="preserve">к </w:t>
      </w:r>
      <w:r w:rsidRPr="003630C1">
        <w:rPr>
          <w:rFonts w:ascii="Times New Roman" w:eastAsiaTheme="minorEastAsia" w:hAnsi="Times New Roman"/>
          <w:bCs/>
          <w:sz w:val="28"/>
          <w:szCs w:val="28"/>
          <w:lang w:eastAsia="zh-CN"/>
        </w:rPr>
        <w:t>Порядку</w:t>
      </w:r>
      <w:r w:rsidR="003630C1" w:rsidRPr="003630C1">
        <w:rPr>
          <w:rFonts w:ascii="Times New Roman" w:hAnsi="Times New Roman"/>
          <w:sz w:val="28"/>
          <w:szCs w:val="28"/>
        </w:rPr>
        <w:t xml:space="preserve"> формирования механизма обратной связи с субъектами инвестиционной и предпринимательской деятельности в Республике Алтай</w:t>
      </w:r>
    </w:p>
    <w:p w14:paraId="4DB97615" w14:textId="77777777" w:rsidR="00C13060" w:rsidRPr="00C13060" w:rsidRDefault="00C13060" w:rsidP="004F5612">
      <w:pPr>
        <w:spacing w:after="0" w:line="240" w:lineRule="auto"/>
        <w:jc w:val="right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EF3D958" w14:textId="77777777" w:rsidR="00C13060" w:rsidRPr="00C13060" w:rsidRDefault="00C13060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4BE5FD61" w14:textId="77777777" w:rsidR="00C13060" w:rsidRPr="0036383A" w:rsidRDefault="00C13060" w:rsidP="004F56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ОТЧЕТ</w:t>
      </w:r>
    </w:p>
    <w:p w14:paraId="2A7913CB" w14:textId="3CE184D3" w:rsidR="00C13060" w:rsidRPr="0036383A" w:rsidRDefault="00E95BC0" w:rsidP="00E95BC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 xml:space="preserve">об обращениях субъектов </w:t>
      </w:r>
      <w:r w:rsidR="00C13060" w:rsidRPr="0036383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инвестиционной и предпринимательской деятельности</w:t>
      </w:r>
    </w:p>
    <w:p w14:paraId="01F92060" w14:textId="01230931" w:rsidR="00C13060" w:rsidRPr="0036383A" w:rsidRDefault="00C13060" w:rsidP="004F5612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</w:pPr>
      <w:r w:rsidRPr="0036383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с</w:t>
      </w:r>
      <w:r w:rsidR="00E95BC0" w:rsidRPr="0036383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_______</w:t>
      </w:r>
      <w:r w:rsidRPr="0036383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ab/>
        <w:t>по</w:t>
      </w:r>
      <w:r w:rsidR="00E95BC0" w:rsidRPr="0036383A">
        <w:rPr>
          <w:rFonts w:ascii="Times New Roman" w:eastAsiaTheme="minorEastAsia" w:hAnsi="Times New Roman"/>
          <w:b/>
          <w:bCs/>
          <w:sz w:val="28"/>
          <w:szCs w:val="28"/>
          <w:lang w:eastAsia="zh-CN"/>
        </w:rPr>
        <w:t>______</w:t>
      </w:r>
    </w:p>
    <w:p w14:paraId="4D5BBD3E" w14:textId="77777777" w:rsidR="00C13060" w:rsidRPr="00C13060" w:rsidRDefault="00C13060" w:rsidP="004F5612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954"/>
        <w:gridCol w:w="755"/>
        <w:gridCol w:w="1088"/>
        <w:gridCol w:w="851"/>
        <w:gridCol w:w="624"/>
        <w:gridCol w:w="793"/>
        <w:gridCol w:w="709"/>
        <w:gridCol w:w="1350"/>
      </w:tblGrid>
      <w:tr w:rsidR="004F5612" w:rsidRPr="004F5612" w14:paraId="6310E4D8" w14:textId="77777777" w:rsidTr="00097820">
        <w:tc>
          <w:tcPr>
            <w:tcW w:w="510" w:type="dxa"/>
          </w:tcPr>
          <w:p w14:paraId="232E69EB" w14:textId="0D55E128" w:rsidR="004F5612" w:rsidRPr="004F5612" w:rsidRDefault="00E95BC0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46A22F18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954" w:type="dxa"/>
          </w:tcPr>
          <w:p w14:paraId="56F57393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755" w:type="dxa"/>
          </w:tcPr>
          <w:p w14:paraId="215FAFA9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939" w:type="dxa"/>
            <w:gridSpan w:val="2"/>
          </w:tcPr>
          <w:p w14:paraId="6EE2B764" w14:textId="1A783659" w:rsidR="004F5612" w:rsidRPr="004F5612" w:rsidRDefault="004F5612" w:rsidP="00E95B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 xml:space="preserve">Обращение </w:t>
            </w:r>
            <w:r w:rsidR="00E95BC0">
              <w:rPr>
                <w:rFonts w:ascii="Times New Roman" w:hAnsi="Times New Roman" w:cs="Times New Roman"/>
                <w:sz w:val="24"/>
              </w:rPr>
              <w:t>«</w:t>
            </w:r>
            <w:r w:rsidRPr="004F5612">
              <w:rPr>
                <w:rFonts w:ascii="Times New Roman" w:hAnsi="Times New Roman" w:cs="Times New Roman"/>
                <w:sz w:val="24"/>
              </w:rPr>
              <w:t>консультация</w:t>
            </w:r>
            <w:r w:rsidR="00E95BC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14:paraId="0AA25EBC" w14:textId="31ED8B3E" w:rsidR="004F5612" w:rsidRPr="004F5612" w:rsidRDefault="004F5612" w:rsidP="00E95B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 xml:space="preserve">Обращение </w:t>
            </w:r>
            <w:r w:rsidR="00E95BC0">
              <w:rPr>
                <w:rFonts w:ascii="Times New Roman" w:hAnsi="Times New Roman" w:cs="Times New Roman"/>
                <w:sz w:val="24"/>
              </w:rPr>
              <w:t>«</w:t>
            </w:r>
            <w:r w:rsidRPr="004F5612">
              <w:rPr>
                <w:rFonts w:ascii="Times New Roman" w:hAnsi="Times New Roman" w:cs="Times New Roman"/>
                <w:sz w:val="24"/>
              </w:rPr>
              <w:t>помощь</w:t>
            </w:r>
            <w:r w:rsidR="00E95BC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59" w:type="dxa"/>
            <w:gridSpan w:val="2"/>
          </w:tcPr>
          <w:p w14:paraId="1218F8E3" w14:textId="0DA066C1" w:rsidR="004F5612" w:rsidRPr="004F5612" w:rsidRDefault="004F5612" w:rsidP="00E95B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 xml:space="preserve">Обращение </w:t>
            </w:r>
            <w:r w:rsidR="00E95BC0">
              <w:rPr>
                <w:rFonts w:ascii="Times New Roman" w:hAnsi="Times New Roman" w:cs="Times New Roman"/>
                <w:sz w:val="24"/>
              </w:rPr>
              <w:t>«</w:t>
            </w:r>
            <w:r w:rsidRPr="004F5612">
              <w:rPr>
                <w:rFonts w:ascii="Times New Roman" w:hAnsi="Times New Roman" w:cs="Times New Roman"/>
                <w:sz w:val="24"/>
              </w:rPr>
              <w:t>проблема</w:t>
            </w:r>
            <w:r w:rsidR="00E95BC0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F5612" w:rsidRPr="004F5612" w14:paraId="0A1210BA" w14:textId="77777777" w:rsidTr="00097820">
        <w:tc>
          <w:tcPr>
            <w:tcW w:w="510" w:type="dxa"/>
          </w:tcPr>
          <w:p w14:paraId="1A281E25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54" w:type="dxa"/>
          </w:tcPr>
          <w:p w14:paraId="10192598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5" w:type="dxa"/>
          </w:tcPr>
          <w:p w14:paraId="2FC3FBE1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39" w:type="dxa"/>
            <w:gridSpan w:val="2"/>
          </w:tcPr>
          <w:p w14:paraId="0CA2C168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14:paraId="5AE25E03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9" w:type="dxa"/>
            <w:gridSpan w:val="2"/>
          </w:tcPr>
          <w:p w14:paraId="393D91E0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F5612" w:rsidRPr="004F5612" w14:paraId="61E66DF9" w14:textId="77777777" w:rsidTr="00097820">
        <w:tc>
          <w:tcPr>
            <w:tcW w:w="510" w:type="dxa"/>
          </w:tcPr>
          <w:p w14:paraId="72185495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54" w:type="dxa"/>
          </w:tcPr>
          <w:p w14:paraId="2A71CDFE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обращений за отчетный период в разрезе каналов обратной связи</w:t>
            </w:r>
          </w:p>
        </w:tc>
        <w:tc>
          <w:tcPr>
            <w:tcW w:w="755" w:type="dxa"/>
          </w:tcPr>
          <w:p w14:paraId="6AF85878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5466F392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0C9B0B2C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 w14:paraId="33085660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53CDE27D" w14:textId="77777777" w:rsidTr="00097820">
        <w:tc>
          <w:tcPr>
            <w:tcW w:w="510" w:type="dxa"/>
          </w:tcPr>
          <w:p w14:paraId="6015E623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54" w:type="dxa"/>
          </w:tcPr>
          <w:p w14:paraId="432AB025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обращений за отчетный период в разрезе исполнителей по ним</w:t>
            </w:r>
          </w:p>
        </w:tc>
        <w:tc>
          <w:tcPr>
            <w:tcW w:w="755" w:type="dxa"/>
          </w:tcPr>
          <w:p w14:paraId="57B456B4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3C6F1A5F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0D538655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 w14:paraId="585519DC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069C7B71" w14:textId="77777777" w:rsidTr="00097820">
        <w:tc>
          <w:tcPr>
            <w:tcW w:w="510" w:type="dxa"/>
          </w:tcPr>
          <w:p w14:paraId="1C76BFE3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54" w:type="dxa"/>
          </w:tcPr>
          <w:p w14:paraId="12AC1F37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ответов на обращения на дату составления отчета</w:t>
            </w:r>
          </w:p>
        </w:tc>
        <w:tc>
          <w:tcPr>
            <w:tcW w:w="755" w:type="dxa"/>
          </w:tcPr>
          <w:p w14:paraId="703639D9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6B5634DD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6536E603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 w14:paraId="0622F84E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4C39F8C9" w14:textId="77777777" w:rsidTr="00097820">
        <w:tc>
          <w:tcPr>
            <w:tcW w:w="510" w:type="dxa"/>
          </w:tcPr>
          <w:p w14:paraId="3C384CE2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54" w:type="dxa"/>
          </w:tcPr>
          <w:p w14:paraId="56EA41BB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обращений в работе на дату составления отчета</w:t>
            </w:r>
          </w:p>
        </w:tc>
        <w:tc>
          <w:tcPr>
            <w:tcW w:w="755" w:type="dxa"/>
          </w:tcPr>
          <w:p w14:paraId="73E895A5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3CC1DEAA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7488062F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 w14:paraId="21621E88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74B5BA0A" w14:textId="77777777" w:rsidTr="00097820">
        <w:tc>
          <w:tcPr>
            <w:tcW w:w="510" w:type="dxa"/>
          </w:tcPr>
          <w:p w14:paraId="670A0564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54" w:type="dxa"/>
          </w:tcPr>
          <w:p w14:paraId="067DCD62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обращений, направленных на доработку, а также их доля от общего количества обращений на дату составления отчета</w:t>
            </w:r>
          </w:p>
        </w:tc>
        <w:tc>
          <w:tcPr>
            <w:tcW w:w="755" w:type="dxa"/>
          </w:tcPr>
          <w:p w14:paraId="233CEC57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34380DF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B3DED9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2792424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C6C55E9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28CDDF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F6EB22A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584E0FDF" w14:textId="77777777" w:rsidTr="00097820">
        <w:tc>
          <w:tcPr>
            <w:tcW w:w="510" w:type="dxa"/>
          </w:tcPr>
          <w:p w14:paraId="7AAF0817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54" w:type="dxa"/>
          </w:tcPr>
          <w:p w14:paraId="27D6614E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и содержание выявленных и решенных системных вопросов</w:t>
            </w:r>
          </w:p>
        </w:tc>
        <w:tc>
          <w:tcPr>
            <w:tcW w:w="755" w:type="dxa"/>
          </w:tcPr>
          <w:p w14:paraId="665FA60E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E72542E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145489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DFBCDEF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0180C38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 w14:paraId="359961EA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79660710" w14:textId="77777777" w:rsidTr="00097820">
        <w:tc>
          <w:tcPr>
            <w:tcW w:w="510" w:type="dxa"/>
          </w:tcPr>
          <w:p w14:paraId="45C3B886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54" w:type="dxa"/>
          </w:tcPr>
          <w:p w14:paraId="008AD6B5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обращений, по которым истек срок рассмотрения, с указанием причины, по которой обращение не рассмотрено в срок</w:t>
            </w:r>
          </w:p>
        </w:tc>
        <w:tc>
          <w:tcPr>
            <w:tcW w:w="755" w:type="dxa"/>
          </w:tcPr>
          <w:p w14:paraId="695B920D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</w:tcPr>
          <w:p w14:paraId="78FEF4AE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67FDBB75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 w14:paraId="0C0D6846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4D060079" w14:textId="77777777" w:rsidTr="00097820">
        <w:tc>
          <w:tcPr>
            <w:tcW w:w="510" w:type="dxa"/>
          </w:tcPr>
          <w:p w14:paraId="5A29F582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54" w:type="dxa"/>
          </w:tcPr>
          <w:p w14:paraId="16BC7071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Количество закрытых обращений за отчетный период (первичных и повторных)</w:t>
            </w:r>
          </w:p>
        </w:tc>
        <w:tc>
          <w:tcPr>
            <w:tcW w:w="755" w:type="dxa"/>
          </w:tcPr>
          <w:p w14:paraId="56326E53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7BF46BC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09794F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67F8B76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6161DD0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</w:tcPr>
          <w:p w14:paraId="6982766C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7B494C19" w14:textId="77777777" w:rsidTr="00097820">
        <w:tc>
          <w:tcPr>
            <w:tcW w:w="510" w:type="dxa"/>
            <w:tcBorders>
              <w:bottom w:val="single" w:sz="4" w:space="0" w:color="auto"/>
            </w:tcBorders>
          </w:tcPr>
          <w:p w14:paraId="7A4D09BB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787B3AB9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Динамика по количеству обращений в отчетном периоде по сравнению с прошлым отчетным периодом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A88CBB6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14:paraId="5CFBCC5F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2DC4EC0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14:paraId="18C5E75B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5612" w:rsidRPr="004F5612" w14:paraId="67B455B5" w14:textId="77777777" w:rsidTr="00097820">
        <w:tc>
          <w:tcPr>
            <w:tcW w:w="510" w:type="dxa"/>
            <w:tcBorders>
              <w:bottom w:val="single" w:sz="4" w:space="0" w:color="auto"/>
            </w:tcBorders>
          </w:tcPr>
          <w:p w14:paraId="45F94435" w14:textId="77777777" w:rsidR="004F5612" w:rsidRPr="004F5612" w:rsidRDefault="004F5612" w:rsidP="00925F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06BA791A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  <w:r w:rsidRPr="004F5612">
              <w:rPr>
                <w:rFonts w:ascii="Times New Roman" w:hAnsi="Times New Roman" w:cs="Times New Roman"/>
                <w:sz w:val="24"/>
              </w:rPr>
              <w:t>Наиболее востребованные заявителями темы обращений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3AC497BD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14:paraId="22FDF777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40B66DA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14:paraId="44756BC6" w14:textId="77777777" w:rsidR="004F5612" w:rsidRPr="004F5612" w:rsidRDefault="004F5612" w:rsidP="00925F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FDD034D" w14:textId="77777777" w:rsidR="00C13060" w:rsidRPr="00C13060" w:rsidRDefault="00C13060" w:rsidP="00C13060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234282FB" w14:textId="77777777" w:rsidR="006E4160" w:rsidRPr="00C13060" w:rsidRDefault="006E4160" w:rsidP="000A30DA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5C2BA828" w14:textId="77777777" w:rsidR="004F5612" w:rsidRPr="004F5612" w:rsidRDefault="004F5612" w:rsidP="004F5612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4F5612">
        <w:rPr>
          <w:rFonts w:ascii="Times New Roman" w:eastAsiaTheme="minorEastAsia" w:hAnsi="Times New Roman"/>
          <w:bCs/>
          <w:sz w:val="28"/>
          <w:szCs w:val="28"/>
          <w:lang w:eastAsia="zh-CN"/>
        </w:rPr>
        <w:t>Дата составления отчета: __________________________</w:t>
      </w:r>
    </w:p>
    <w:p w14:paraId="3B68481A" w14:textId="11DEEF5C" w:rsidR="006E4160" w:rsidRPr="004F5612" w:rsidRDefault="004F5612" w:rsidP="004F5612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  <w:r w:rsidRPr="004F5612">
        <w:rPr>
          <w:rFonts w:ascii="Times New Roman" w:eastAsiaTheme="minorEastAsia" w:hAnsi="Times New Roman"/>
          <w:bCs/>
          <w:sz w:val="28"/>
          <w:szCs w:val="28"/>
          <w:lang w:eastAsia="zh-CN"/>
        </w:rPr>
        <w:t>Руководитель единого центра обработки обращений субъектов инвестиционной и предпринимательской деятельности: ________________</w:t>
      </w:r>
    </w:p>
    <w:p w14:paraId="45AF7747" w14:textId="77777777" w:rsidR="006E4160" w:rsidRPr="004F5612" w:rsidRDefault="006E4160" w:rsidP="000A30DA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zh-CN"/>
        </w:rPr>
      </w:pPr>
    </w:p>
    <w:p w14:paraId="7BF75835" w14:textId="77777777" w:rsidR="006E4160" w:rsidRDefault="006E4160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5810CB4" w14:textId="45101335" w:rsidR="006E4160" w:rsidRDefault="006E4160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14BDBC96" w14:textId="0C8A057B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600E5AD" w14:textId="235937ED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30C35258" w14:textId="207F9A14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A46A1F8" w14:textId="3378AE5D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37C5F6DC" w14:textId="0A6FA67C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7852910D" w14:textId="61D0F33D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8105316" w14:textId="3A57C384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3F465C2" w14:textId="1D3728AB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681FE350" w14:textId="297098A0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F9BFCE7" w14:textId="512C700E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30D3A58C" w14:textId="62AD61A6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30881172" w14:textId="72AD559A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7EB9E9E8" w14:textId="7AE5C4FE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BC3467F" w14:textId="5FCCFF21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5664720C" w14:textId="38795140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12ED925" w14:textId="621021BB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1FEAE1CC" w14:textId="550F621C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4A33B9F1" w14:textId="5B316632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112A7A89" w14:textId="4672594F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BD907DD" w14:textId="4972602A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43E0010D" w14:textId="44D818E4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313FB82C" w14:textId="77777777" w:rsidR="003630C1" w:rsidRDefault="003630C1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0A4507B1" w14:textId="77777777" w:rsidR="006E4160" w:rsidRDefault="006E4160" w:rsidP="000A30DA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0B54AB6C" w14:textId="77777777" w:rsidR="006E4160" w:rsidRDefault="006E4160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14:paraId="2F198694" w14:textId="77777777" w:rsidR="006E4160" w:rsidRDefault="006E4160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bookmarkStart w:id="1" w:name="_GoBack"/>
      <w:bookmarkEnd w:id="1"/>
    </w:p>
    <w:sectPr w:rsidR="006E4160" w:rsidSect="00EA1808">
      <w:headerReference w:type="default" r:id="rId7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11CCE" w14:textId="77777777" w:rsidR="00BD42E8" w:rsidRDefault="00BD42E8" w:rsidP="00AC2D4C">
      <w:pPr>
        <w:spacing w:after="0" w:line="240" w:lineRule="auto"/>
      </w:pPr>
      <w:r>
        <w:separator/>
      </w:r>
    </w:p>
  </w:endnote>
  <w:endnote w:type="continuationSeparator" w:id="0">
    <w:p w14:paraId="4A66383A" w14:textId="77777777" w:rsidR="00BD42E8" w:rsidRDefault="00BD42E8" w:rsidP="00A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0E3E" w14:textId="77777777" w:rsidR="00BD42E8" w:rsidRDefault="00BD42E8" w:rsidP="00AC2D4C">
      <w:pPr>
        <w:spacing w:after="0" w:line="240" w:lineRule="auto"/>
      </w:pPr>
      <w:r>
        <w:separator/>
      </w:r>
    </w:p>
  </w:footnote>
  <w:footnote w:type="continuationSeparator" w:id="0">
    <w:p w14:paraId="3C273E23" w14:textId="77777777" w:rsidR="00BD42E8" w:rsidRDefault="00BD42E8" w:rsidP="00A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405597"/>
      <w:docPartObj>
        <w:docPartGallery w:val="Page Numbers (Top of Page)"/>
        <w:docPartUnique/>
      </w:docPartObj>
    </w:sdtPr>
    <w:sdtEndPr/>
    <w:sdtContent>
      <w:p w14:paraId="137F4BAA" w14:textId="25248A3F" w:rsidR="00AA21D7" w:rsidRDefault="00AA21D7">
        <w:pPr>
          <w:pStyle w:val="a8"/>
          <w:jc w:val="center"/>
        </w:pPr>
        <w:r w:rsidRPr="008846B6">
          <w:rPr>
            <w:rFonts w:ascii="Times New Roman" w:hAnsi="Times New Roman"/>
            <w:sz w:val="28"/>
            <w:szCs w:val="28"/>
          </w:rPr>
          <w:fldChar w:fldCharType="begin"/>
        </w:r>
        <w:r w:rsidRPr="008846B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846B6">
          <w:rPr>
            <w:rFonts w:ascii="Times New Roman" w:hAnsi="Times New Roman"/>
            <w:sz w:val="28"/>
            <w:szCs w:val="28"/>
          </w:rPr>
          <w:fldChar w:fldCharType="separate"/>
        </w:r>
        <w:r w:rsidR="006A3AFD">
          <w:rPr>
            <w:rFonts w:ascii="Times New Roman" w:hAnsi="Times New Roman"/>
            <w:noProof/>
            <w:sz w:val="28"/>
            <w:szCs w:val="28"/>
          </w:rPr>
          <w:t>9</w:t>
        </w:r>
        <w:r w:rsidRPr="008846B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5866831" w14:textId="77777777" w:rsidR="00AA21D7" w:rsidRDefault="00AA21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6E5"/>
    <w:multiLevelType w:val="hybridMultilevel"/>
    <w:tmpl w:val="27461F26"/>
    <w:lvl w:ilvl="0" w:tplc="4BFA39BA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392D3ECC"/>
    <w:multiLevelType w:val="hybridMultilevel"/>
    <w:tmpl w:val="1A4A0204"/>
    <w:lvl w:ilvl="0" w:tplc="2146E6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AC6EDA"/>
    <w:multiLevelType w:val="hybridMultilevel"/>
    <w:tmpl w:val="EEE43C56"/>
    <w:lvl w:ilvl="0" w:tplc="F29AB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7E1EC5"/>
    <w:multiLevelType w:val="hybridMultilevel"/>
    <w:tmpl w:val="3A6CC5B8"/>
    <w:lvl w:ilvl="0" w:tplc="4BF8E35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9B11489"/>
    <w:multiLevelType w:val="hybridMultilevel"/>
    <w:tmpl w:val="BE7C26CA"/>
    <w:lvl w:ilvl="0" w:tplc="E83CEB2C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 w15:restartNumberingAfterBreak="0">
    <w:nsid w:val="67667FB3"/>
    <w:multiLevelType w:val="hybridMultilevel"/>
    <w:tmpl w:val="658404AC"/>
    <w:lvl w:ilvl="0" w:tplc="3D24D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235268"/>
    <w:multiLevelType w:val="hybridMultilevel"/>
    <w:tmpl w:val="89109BE6"/>
    <w:lvl w:ilvl="0" w:tplc="D010B68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E"/>
    <w:rsid w:val="0000314A"/>
    <w:rsid w:val="00016B2E"/>
    <w:rsid w:val="00022278"/>
    <w:rsid w:val="00043855"/>
    <w:rsid w:val="00051BA0"/>
    <w:rsid w:val="000659C2"/>
    <w:rsid w:val="000772FC"/>
    <w:rsid w:val="00097820"/>
    <w:rsid w:val="000A0654"/>
    <w:rsid w:val="000A0933"/>
    <w:rsid w:val="000A30DA"/>
    <w:rsid w:val="000A5629"/>
    <w:rsid w:val="000D53EA"/>
    <w:rsid w:val="000E097A"/>
    <w:rsid w:val="000E1F56"/>
    <w:rsid w:val="000F788C"/>
    <w:rsid w:val="00106CC0"/>
    <w:rsid w:val="00122BE9"/>
    <w:rsid w:val="001270F3"/>
    <w:rsid w:val="0013576F"/>
    <w:rsid w:val="00135ED9"/>
    <w:rsid w:val="0016750E"/>
    <w:rsid w:val="001770E4"/>
    <w:rsid w:val="00190513"/>
    <w:rsid w:val="001953E4"/>
    <w:rsid w:val="0019601C"/>
    <w:rsid w:val="001A65D1"/>
    <w:rsid w:val="001C4736"/>
    <w:rsid w:val="001D0DAA"/>
    <w:rsid w:val="001D26EF"/>
    <w:rsid w:val="001D5223"/>
    <w:rsid w:val="001F3AB5"/>
    <w:rsid w:val="001F64A8"/>
    <w:rsid w:val="00205C1D"/>
    <w:rsid w:val="00213CF2"/>
    <w:rsid w:val="002236CE"/>
    <w:rsid w:val="00227F91"/>
    <w:rsid w:val="00240801"/>
    <w:rsid w:val="00244A0D"/>
    <w:rsid w:val="0025058C"/>
    <w:rsid w:val="00263898"/>
    <w:rsid w:val="00292DF0"/>
    <w:rsid w:val="002A7B2B"/>
    <w:rsid w:val="002A7F8F"/>
    <w:rsid w:val="002B45D0"/>
    <w:rsid w:val="002D13FD"/>
    <w:rsid w:val="002E4982"/>
    <w:rsid w:val="002F3212"/>
    <w:rsid w:val="003013AE"/>
    <w:rsid w:val="0030142D"/>
    <w:rsid w:val="003079FB"/>
    <w:rsid w:val="003373D7"/>
    <w:rsid w:val="00350B39"/>
    <w:rsid w:val="00360D7B"/>
    <w:rsid w:val="003630C1"/>
    <w:rsid w:val="0036383A"/>
    <w:rsid w:val="00365AE1"/>
    <w:rsid w:val="0037497B"/>
    <w:rsid w:val="00377816"/>
    <w:rsid w:val="00381595"/>
    <w:rsid w:val="00381EE8"/>
    <w:rsid w:val="00382B22"/>
    <w:rsid w:val="0039061B"/>
    <w:rsid w:val="00391413"/>
    <w:rsid w:val="003932C9"/>
    <w:rsid w:val="003960F7"/>
    <w:rsid w:val="003B07D8"/>
    <w:rsid w:val="003B585E"/>
    <w:rsid w:val="003C4861"/>
    <w:rsid w:val="003D5D34"/>
    <w:rsid w:val="003F6BC3"/>
    <w:rsid w:val="00404257"/>
    <w:rsid w:val="00417771"/>
    <w:rsid w:val="00426F75"/>
    <w:rsid w:val="0043155C"/>
    <w:rsid w:val="00441470"/>
    <w:rsid w:val="0044203A"/>
    <w:rsid w:val="00452EF1"/>
    <w:rsid w:val="00455DA8"/>
    <w:rsid w:val="00461622"/>
    <w:rsid w:val="004A6B41"/>
    <w:rsid w:val="004C1925"/>
    <w:rsid w:val="004D1863"/>
    <w:rsid w:val="004E5615"/>
    <w:rsid w:val="004F5612"/>
    <w:rsid w:val="00502C3B"/>
    <w:rsid w:val="005030B7"/>
    <w:rsid w:val="005267E6"/>
    <w:rsid w:val="0055499E"/>
    <w:rsid w:val="0055622B"/>
    <w:rsid w:val="0057193F"/>
    <w:rsid w:val="005773BE"/>
    <w:rsid w:val="005779DF"/>
    <w:rsid w:val="00583B12"/>
    <w:rsid w:val="00584C47"/>
    <w:rsid w:val="00586EAC"/>
    <w:rsid w:val="0058730F"/>
    <w:rsid w:val="005938E8"/>
    <w:rsid w:val="005A165C"/>
    <w:rsid w:val="005B0977"/>
    <w:rsid w:val="005B5863"/>
    <w:rsid w:val="005D4099"/>
    <w:rsid w:val="005E1D20"/>
    <w:rsid w:val="005F0471"/>
    <w:rsid w:val="005F1E6A"/>
    <w:rsid w:val="005F3779"/>
    <w:rsid w:val="0060073F"/>
    <w:rsid w:val="00611F98"/>
    <w:rsid w:val="00624C41"/>
    <w:rsid w:val="00630E65"/>
    <w:rsid w:val="00640350"/>
    <w:rsid w:val="00644B06"/>
    <w:rsid w:val="00646BE7"/>
    <w:rsid w:val="006551C4"/>
    <w:rsid w:val="00660C6A"/>
    <w:rsid w:val="006A3AFD"/>
    <w:rsid w:val="006B19DC"/>
    <w:rsid w:val="006C00E2"/>
    <w:rsid w:val="006C0348"/>
    <w:rsid w:val="006C45B1"/>
    <w:rsid w:val="006D1C47"/>
    <w:rsid w:val="006E13CF"/>
    <w:rsid w:val="006E4160"/>
    <w:rsid w:val="006E4C28"/>
    <w:rsid w:val="006E7D2F"/>
    <w:rsid w:val="006F3509"/>
    <w:rsid w:val="006F5E57"/>
    <w:rsid w:val="00703736"/>
    <w:rsid w:val="00720BC8"/>
    <w:rsid w:val="007342B6"/>
    <w:rsid w:val="00735576"/>
    <w:rsid w:val="007514AE"/>
    <w:rsid w:val="00753A47"/>
    <w:rsid w:val="00753EA3"/>
    <w:rsid w:val="0075570C"/>
    <w:rsid w:val="00770280"/>
    <w:rsid w:val="00770EF4"/>
    <w:rsid w:val="00771B01"/>
    <w:rsid w:val="00775B86"/>
    <w:rsid w:val="00785A28"/>
    <w:rsid w:val="007A2E4F"/>
    <w:rsid w:val="007A31B2"/>
    <w:rsid w:val="007B0970"/>
    <w:rsid w:val="007B790E"/>
    <w:rsid w:val="007C26A3"/>
    <w:rsid w:val="007F72D1"/>
    <w:rsid w:val="00823376"/>
    <w:rsid w:val="008242A6"/>
    <w:rsid w:val="00830AAD"/>
    <w:rsid w:val="008341C0"/>
    <w:rsid w:val="00834C81"/>
    <w:rsid w:val="00841FB1"/>
    <w:rsid w:val="0084778A"/>
    <w:rsid w:val="0085165C"/>
    <w:rsid w:val="00855E7E"/>
    <w:rsid w:val="008846B6"/>
    <w:rsid w:val="00897EA6"/>
    <w:rsid w:val="008E1CA8"/>
    <w:rsid w:val="008F0318"/>
    <w:rsid w:val="008F4449"/>
    <w:rsid w:val="00901D5C"/>
    <w:rsid w:val="00912BE8"/>
    <w:rsid w:val="0091631C"/>
    <w:rsid w:val="009178A9"/>
    <w:rsid w:val="00922E59"/>
    <w:rsid w:val="00925FE1"/>
    <w:rsid w:val="00926848"/>
    <w:rsid w:val="00943EEF"/>
    <w:rsid w:val="00944FB8"/>
    <w:rsid w:val="00947F8F"/>
    <w:rsid w:val="0095085F"/>
    <w:rsid w:val="00955B49"/>
    <w:rsid w:val="00962799"/>
    <w:rsid w:val="009671A6"/>
    <w:rsid w:val="00985D1F"/>
    <w:rsid w:val="009A432F"/>
    <w:rsid w:val="009B0FF9"/>
    <w:rsid w:val="009C4EFC"/>
    <w:rsid w:val="009E1690"/>
    <w:rsid w:val="009F7989"/>
    <w:rsid w:val="00A03BED"/>
    <w:rsid w:val="00A052CC"/>
    <w:rsid w:val="00A07A6B"/>
    <w:rsid w:val="00A10CBE"/>
    <w:rsid w:val="00A11E2E"/>
    <w:rsid w:val="00A306B1"/>
    <w:rsid w:val="00A3374D"/>
    <w:rsid w:val="00A34394"/>
    <w:rsid w:val="00A3624C"/>
    <w:rsid w:val="00A42472"/>
    <w:rsid w:val="00A752BE"/>
    <w:rsid w:val="00A778B8"/>
    <w:rsid w:val="00A802B2"/>
    <w:rsid w:val="00A91EB7"/>
    <w:rsid w:val="00AA21D7"/>
    <w:rsid w:val="00AA23F0"/>
    <w:rsid w:val="00AB04B1"/>
    <w:rsid w:val="00AC2D4C"/>
    <w:rsid w:val="00AC42CD"/>
    <w:rsid w:val="00AC53F1"/>
    <w:rsid w:val="00AD20B3"/>
    <w:rsid w:val="00AF0511"/>
    <w:rsid w:val="00AF45C5"/>
    <w:rsid w:val="00AF545A"/>
    <w:rsid w:val="00AF7E83"/>
    <w:rsid w:val="00B02237"/>
    <w:rsid w:val="00B12DCF"/>
    <w:rsid w:val="00B225C1"/>
    <w:rsid w:val="00B259BC"/>
    <w:rsid w:val="00B25FC7"/>
    <w:rsid w:val="00B5795D"/>
    <w:rsid w:val="00B81EFA"/>
    <w:rsid w:val="00B82171"/>
    <w:rsid w:val="00B95FCD"/>
    <w:rsid w:val="00BA57B6"/>
    <w:rsid w:val="00BD3380"/>
    <w:rsid w:val="00BD42E8"/>
    <w:rsid w:val="00BF3B4F"/>
    <w:rsid w:val="00C050E0"/>
    <w:rsid w:val="00C05A05"/>
    <w:rsid w:val="00C13060"/>
    <w:rsid w:val="00C13FE6"/>
    <w:rsid w:val="00C32AD8"/>
    <w:rsid w:val="00C356A7"/>
    <w:rsid w:val="00C43DA0"/>
    <w:rsid w:val="00C57E6C"/>
    <w:rsid w:val="00C74F5D"/>
    <w:rsid w:val="00C818CE"/>
    <w:rsid w:val="00CA6E46"/>
    <w:rsid w:val="00CB4732"/>
    <w:rsid w:val="00CB57E7"/>
    <w:rsid w:val="00CC41B4"/>
    <w:rsid w:val="00CE0785"/>
    <w:rsid w:val="00CE3F5A"/>
    <w:rsid w:val="00D04BF2"/>
    <w:rsid w:val="00D366DB"/>
    <w:rsid w:val="00D37AAA"/>
    <w:rsid w:val="00D50480"/>
    <w:rsid w:val="00D52AA1"/>
    <w:rsid w:val="00D61BA8"/>
    <w:rsid w:val="00D76BD0"/>
    <w:rsid w:val="00D93D59"/>
    <w:rsid w:val="00DA4F39"/>
    <w:rsid w:val="00DB551B"/>
    <w:rsid w:val="00DD74ED"/>
    <w:rsid w:val="00DE446C"/>
    <w:rsid w:val="00DE4F21"/>
    <w:rsid w:val="00DF1382"/>
    <w:rsid w:val="00DF67B3"/>
    <w:rsid w:val="00E13594"/>
    <w:rsid w:val="00E24D85"/>
    <w:rsid w:val="00E635B4"/>
    <w:rsid w:val="00E648C2"/>
    <w:rsid w:val="00E72081"/>
    <w:rsid w:val="00E8728D"/>
    <w:rsid w:val="00E95BC0"/>
    <w:rsid w:val="00E95C45"/>
    <w:rsid w:val="00EA1808"/>
    <w:rsid w:val="00EB6FAD"/>
    <w:rsid w:val="00ED20D0"/>
    <w:rsid w:val="00ED5203"/>
    <w:rsid w:val="00EE5772"/>
    <w:rsid w:val="00F10AF1"/>
    <w:rsid w:val="00F266C8"/>
    <w:rsid w:val="00F33192"/>
    <w:rsid w:val="00F34BC3"/>
    <w:rsid w:val="00F45496"/>
    <w:rsid w:val="00F53DB0"/>
    <w:rsid w:val="00F9607A"/>
    <w:rsid w:val="00FA19E7"/>
    <w:rsid w:val="00FA5815"/>
    <w:rsid w:val="00FB44CD"/>
    <w:rsid w:val="00FB6563"/>
    <w:rsid w:val="00FC7137"/>
    <w:rsid w:val="00FD30A6"/>
    <w:rsid w:val="00FD7BE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61C2"/>
  <w15:chartTrackingRefBased/>
  <w15:docId w15:val="{DF4BF5B5-4215-4364-9960-63B2B16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C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01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013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013AE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6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080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BEA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6C0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2D4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AC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2D4C"/>
    <w:rPr>
      <w:rFonts w:eastAsia="Times New Roman" w:cs="Times New Roman"/>
    </w:rPr>
  </w:style>
  <w:style w:type="paragraph" w:styleId="ac">
    <w:name w:val="Normal (Web)"/>
    <w:basedOn w:val="a"/>
    <w:uiPriority w:val="99"/>
    <w:unhideWhenUsed/>
    <w:rsid w:val="006C0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9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34</cp:revision>
  <cp:lastPrinted>2025-05-14T05:19:00Z</cp:lastPrinted>
  <dcterms:created xsi:type="dcterms:W3CDTF">2025-04-21T03:44:00Z</dcterms:created>
  <dcterms:modified xsi:type="dcterms:W3CDTF">2025-05-14T05:39:00Z</dcterms:modified>
</cp:coreProperties>
</file>