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1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EB1584">
        <w:trPr>
          <w:trHeight w:hRule="exact" w:val="1134"/>
        </w:trPr>
        <w:tc>
          <w:tcPr>
            <w:tcW w:w="4320" w:type="dxa"/>
          </w:tcPr>
          <w:p w:rsidR="00EB1584" w:rsidRDefault="00EB1584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EB1584" w:rsidRDefault="0074198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15600" cy="612000"/>
                  <wp:effectExtent l="19050" t="0" r="0" b="0"/>
                  <wp:docPr id="1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EB1584" w:rsidRDefault="00EB1584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EB1584">
        <w:trPr>
          <w:trHeight w:hRule="exact" w:val="851"/>
        </w:trPr>
        <w:tc>
          <w:tcPr>
            <w:tcW w:w="4320" w:type="dxa"/>
            <w:vAlign w:val="center"/>
          </w:tcPr>
          <w:p w:rsidR="00EB1584" w:rsidRDefault="00741986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ПРАВИТЕЛЬСТВО</w:t>
            </w:r>
          </w:p>
          <w:p w:rsidR="00EB1584" w:rsidRDefault="0074198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РЕСПУБЛИКИ АЛТАЙ</w:t>
            </w:r>
          </w:p>
        </w:tc>
        <w:tc>
          <w:tcPr>
            <w:tcW w:w="1080" w:type="dxa"/>
          </w:tcPr>
          <w:p w:rsidR="00EB1584" w:rsidRDefault="00EB1584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EB1584" w:rsidRDefault="00741986">
            <w:pPr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АЛТАЙ РЕСПУБЛИКАНЫҤ</w:t>
            </w:r>
          </w:p>
          <w:p w:rsidR="00EB1584" w:rsidRDefault="0074198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>БАШКАРУЗЫ</w:t>
            </w:r>
          </w:p>
        </w:tc>
      </w:tr>
      <w:tr w:rsidR="00EB1584">
        <w:trPr>
          <w:trHeight w:hRule="exact" w:val="170"/>
        </w:trPr>
        <w:tc>
          <w:tcPr>
            <w:tcW w:w="9720" w:type="dxa"/>
            <w:gridSpan w:val="3"/>
            <w:tcBorders>
              <w:bottom w:val="single" w:sz="24" w:space="0" w:color="auto"/>
            </w:tcBorders>
            <w:vAlign w:val="center"/>
          </w:tcPr>
          <w:p w:rsidR="00EB1584" w:rsidRDefault="00EB1584"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</w:tr>
      <w:tr w:rsidR="00EB1584">
        <w:trPr>
          <w:trHeight w:hRule="exact" w:val="283"/>
        </w:trPr>
        <w:tc>
          <w:tcPr>
            <w:tcW w:w="9720" w:type="dxa"/>
            <w:gridSpan w:val="3"/>
            <w:tcBorders>
              <w:top w:val="single" w:sz="24" w:space="0" w:color="auto"/>
            </w:tcBorders>
          </w:tcPr>
          <w:p w:rsidR="00EB1584" w:rsidRDefault="00EB1584"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</w:tr>
      <w:tr w:rsidR="00EB1584">
        <w:trPr>
          <w:trHeight w:val="283"/>
        </w:trPr>
        <w:tc>
          <w:tcPr>
            <w:tcW w:w="4320" w:type="dxa"/>
            <w:vAlign w:val="center"/>
          </w:tcPr>
          <w:p w:rsidR="00EB1584" w:rsidRDefault="0074198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:rsidR="00EB1584" w:rsidRDefault="00EB1584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EB1584" w:rsidRDefault="0074198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EB1584">
        <w:trPr>
          <w:trHeight w:val="283"/>
        </w:trPr>
        <w:tc>
          <w:tcPr>
            <w:tcW w:w="4320" w:type="dxa"/>
            <w:vAlign w:val="center"/>
          </w:tcPr>
          <w:p w:rsidR="00EB1584" w:rsidRDefault="00EB1584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</w:tcPr>
          <w:p w:rsidR="00EB1584" w:rsidRDefault="00EB1584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:rsidR="00EB1584" w:rsidRDefault="00EB1584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EB1584">
        <w:trPr>
          <w:trHeight w:val="283"/>
        </w:trPr>
        <w:tc>
          <w:tcPr>
            <w:tcW w:w="9720" w:type="dxa"/>
            <w:gridSpan w:val="3"/>
            <w:vAlign w:val="center"/>
          </w:tcPr>
          <w:p w:rsidR="00EB1584" w:rsidRDefault="00EB1584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  <w:p w:rsidR="00EB1584" w:rsidRDefault="00EB1584"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</w:tr>
      <w:tr w:rsidR="00EB1584">
        <w:trPr>
          <w:trHeight w:val="283"/>
        </w:trPr>
        <w:tc>
          <w:tcPr>
            <w:tcW w:w="9720" w:type="dxa"/>
            <w:gridSpan w:val="3"/>
            <w:vAlign w:val="center"/>
          </w:tcPr>
          <w:p w:rsidR="00EB1584" w:rsidRDefault="00EB1584">
            <w:pPr>
              <w:tabs>
                <w:tab w:val="center" w:pos="4292"/>
              </w:tabs>
              <w:jc w:val="left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</w:p>
        </w:tc>
      </w:tr>
      <w:tr w:rsidR="00EB1584">
        <w:trPr>
          <w:trHeight w:val="283"/>
        </w:trPr>
        <w:tc>
          <w:tcPr>
            <w:tcW w:w="9720" w:type="dxa"/>
            <w:gridSpan w:val="3"/>
            <w:vAlign w:val="center"/>
          </w:tcPr>
          <w:p w:rsidR="00EB1584" w:rsidRDefault="00741986">
            <w:pPr>
              <w:jc w:val="center"/>
              <w:rPr>
                <w:rFonts w:ascii="PT Astra Serif" w:hAnsi="PT Astra Serif" w:cs="PT Astra Serif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bCs/>
                <w:sz w:val="26"/>
                <w:szCs w:val="26"/>
              </w:rPr>
              <w:t>г. Горно-Алтайск</w:t>
            </w:r>
          </w:p>
        </w:tc>
      </w:tr>
      <w:tr w:rsidR="00EB1584">
        <w:trPr>
          <w:trHeight w:val="283"/>
        </w:trPr>
        <w:tc>
          <w:tcPr>
            <w:tcW w:w="9720" w:type="dxa"/>
            <w:gridSpan w:val="3"/>
            <w:vAlign w:val="center"/>
          </w:tcPr>
          <w:p w:rsidR="00EB1584" w:rsidRDefault="00EB1584"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</w:p>
          <w:p w:rsidR="00EB1584" w:rsidRDefault="00EB1584"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</w:p>
          <w:p w:rsidR="00EB1584" w:rsidRDefault="00EB1584"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</w:p>
        </w:tc>
      </w:tr>
      <w:tr w:rsidR="00EB1584">
        <w:trPr>
          <w:trHeight w:val="283"/>
        </w:trPr>
        <w:tc>
          <w:tcPr>
            <w:tcW w:w="9720" w:type="dxa"/>
            <w:gridSpan w:val="3"/>
            <w:vAlign w:val="center"/>
          </w:tcPr>
          <w:p w:rsidR="00EB1584" w:rsidRDefault="00741986">
            <w:pPr>
              <w:spacing w:line="288" w:lineRule="atLeast"/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bookmarkStart w:id="0" w:name="_GoBack"/>
            <w:r>
              <w:rPr>
                <w:rFonts w:ascii="PT Astra Serif" w:eastAsia="PT Astra Serif" w:hAnsi="PT Astra Serif" w:cs="PT Astra Serif"/>
                <w:b/>
                <w:bCs/>
                <w:sz w:val="26"/>
                <w:szCs w:val="26"/>
                <w:lang w:eastAsia="ru-RU"/>
              </w:rPr>
              <w:t xml:space="preserve">О внесении изменений в Порядок определения цены земельных участков, находящихся в государственной собственности Республики Алтай,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утвержденный постановлением Правительства Республики Алтай </w:t>
            </w:r>
          </w:p>
          <w:p w:rsidR="00EB1584" w:rsidRDefault="00741986">
            <w:pPr>
              <w:spacing w:line="288" w:lineRule="atLeast"/>
              <w:jc w:val="center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6"/>
                <w:szCs w:val="26"/>
                <w:lang w:eastAsia="ru-RU"/>
              </w:rPr>
              <w:t>от 22 мая 2015 г. № 138</w:t>
            </w:r>
            <w:bookmarkEnd w:id="0"/>
          </w:p>
          <w:p w:rsidR="00EB1584" w:rsidRDefault="00EB1584">
            <w:pPr>
              <w:jc w:val="center"/>
              <w:rPr>
                <w:rFonts w:ascii="PT Astra Serif" w:hAnsi="PT Astra Serif" w:cs="PT Astra Serif"/>
                <w:bCs/>
                <w:sz w:val="26"/>
                <w:szCs w:val="26"/>
              </w:rPr>
            </w:pPr>
            <w:permStart w:id="989364103" w:edGrp="everyone"/>
            <w:permEnd w:id="989364103"/>
          </w:p>
        </w:tc>
      </w:tr>
      <w:tr w:rsidR="00EB1584">
        <w:trPr>
          <w:trHeight w:val="283"/>
        </w:trPr>
        <w:tc>
          <w:tcPr>
            <w:tcW w:w="9720" w:type="dxa"/>
            <w:gridSpan w:val="3"/>
            <w:vAlign w:val="center"/>
          </w:tcPr>
          <w:p w:rsidR="00EB1584" w:rsidRDefault="00EB1584">
            <w:pPr>
              <w:jc w:val="left"/>
              <w:rPr>
                <w:rFonts w:ascii="PT Astra Serif" w:hAnsi="PT Astra Serif" w:cs="PT Astra Serif"/>
                <w:bCs/>
                <w:sz w:val="26"/>
                <w:szCs w:val="26"/>
              </w:rPr>
            </w:pPr>
          </w:p>
        </w:tc>
      </w:tr>
    </w:tbl>
    <w:p w:rsidR="00EB1584" w:rsidRDefault="00741986">
      <w:pPr>
        <w:spacing w:line="288" w:lineRule="atLeast"/>
        <w:ind w:firstLine="54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Правительство Республики Алтай  </w:t>
      </w:r>
      <w:r>
        <w:rPr>
          <w:rFonts w:ascii="PT Astra Serif" w:eastAsia="PT Astra Serif" w:hAnsi="PT Astra Serif" w:cs="PT Astra Serif"/>
          <w:b/>
          <w:bCs/>
          <w:sz w:val="26"/>
          <w:szCs w:val="26"/>
          <w:lang w:eastAsia="ru-RU"/>
        </w:rPr>
        <w:t>п о с т а н о в л я е т :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</w:t>
      </w:r>
    </w:p>
    <w:p w:rsidR="00EB1584" w:rsidRDefault="00EB1584">
      <w:pPr>
        <w:spacing w:line="288" w:lineRule="atLeast"/>
        <w:ind w:firstLine="540"/>
        <w:rPr>
          <w:rFonts w:ascii="PT Astra Serif" w:hAnsi="PT Astra Serif" w:cs="PT Astra Serif"/>
          <w:sz w:val="26"/>
          <w:szCs w:val="26"/>
        </w:rPr>
      </w:pPr>
    </w:p>
    <w:p w:rsidR="00EB1584" w:rsidRDefault="00741986">
      <w:pPr>
        <w:spacing w:line="288" w:lineRule="atLeast"/>
        <w:ind w:firstLine="54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Внести в Порядок определения цены земельных участков, находящихся                                    в государственной собственности Республики Алтай, и земельных участков, государственная собственность на которые не разграничена, при их продаже без проведения торгов, утвержденный постановлением Правительства Республики Алтай от 22 мая 2015 г. № 138 </w:t>
      </w:r>
      <w:r>
        <w:rPr>
          <w:rFonts w:ascii="PT Astra Serif" w:eastAsia="PT Astra Serif" w:hAnsi="PT Astra Serif" w:cs="PT Astra Serif"/>
          <w:color w:val="000000" w:themeColor="text1"/>
          <w:sz w:val="26"/>
          <w:szCs w:val="26"/>
          <w:highlight w:val="white"/>
        </w:rPr>
        <w:t>(Сборник законодательства Республики Алтай, 2015,                               № 123(129); 2017, № 144(150); 2018, № 158(164); 2020, № 183(189); 2022, № 200(206),                  № 204(210); 2024, № 217(223)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следующие изменения: </w:t>
      </w:r>
    </w:p>
    <w:p w:rsidR="00EB1584" w:rsidRDefault="00741986">
      <w:pPr>
        <w:spacing w:line="288" w:lineRule="atLeast"/>
        <w:ind w:firstLine="54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а) пункт 3 изложить в следующей редакции: </w:t>
      </w:r>
    </w:p>
    <w:p w:rsidR="00EB1584" w:rsidRDefault="00741986">
      <w:pPr>
        <w:spacing w:line="288" w:lineRule="atLeast"/>
        <w:ind w:firstLine="540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«3. Продажа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осуществляется по цене, определяемой:</w:t>
      </w:r>
    </w:p>
    <w:p w:rsidR="00EB1584" w:rsidRDefault="00741986">
      <w:pPr>
        <w:spacing w:line="288" w:lineRule="atLeast"/>
        <w:ind w:firstLine="540"/>
        <w:rPr>
          <w:rFonts w:ascii="PT Astra Serif" w:hAnsi="PT Astra Serif" w:cs="PT Astra Serif"/>
          <w:sz w:val="26"/>
          <w:szCs w:val="26"/>
        </w:rPr>
      </w:pPr>
      <w:bookmarkStart w:id="1" w:name="P56"/>
      <w:bookmarkEnd w:id="1"/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а) в размере 2 процентов от кадастровой стоимости земельного участка:</w:t>
      </w:r>
    </w:p>
    <w:p w:rsidR="00EB1584" w:rsidRDefault="00741986" w:rsidP="007C46BE">
      <w:pPr>
        <w:pStyle w:val="aff5"/>
        <w:spacing w:before="0" w:beforeAutospacing="0" w:after="0" w:afterAutospacing="0" w:line="288" w:lineRule="atLeast"/>
        <w:ind w:firstLine="540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предоставленного для ведения личного подсобного хозяйства, садоводства для собственных нужд, индивидуального гаражного или индивидуального жилищного строительства</w:t>
      </w:r>
      <w:r w:rsidR="007C46BE">
        <w:rPr>
          <w:rFonts w:ascii="PT Astra Serif" w:eastAsia="PT Astra Serif" w:hAnsi="PT Astra Serif" w:cs="PT Astra Serif"/>
          <w:sz w:val="26"/>
          <w:szCs w:val="26"/>
        </w:rPr>
        <w:t xml:space="preserve"> гражданину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, </w:t>
      </w:r>
      <w:r w:rsidR="007C46BE" w:rsidRPr="007C46BE">
        <w:rPr>
          <w:rFonts w:ascii="PT Astra Serif" w:eastAsia="PT Astra Serif" w:hAnsi="PT Astra Serif" w:cs="PT Astra Serif"/>
          <w:sz w:val="26"/>
          <w:szCs w:val="26"/>
        </w:rPr>
        <w:t xml:space="preserve">зарегистрированному по месту жительства на территории Республики Алтай не менее </w:t>
      </w:r>
      <w:r w:rsidR="005069B3">
        <w:rPr>
          <w:rFonts w:ascii="PT Astra Serif" w:eastAsia="PT Astra Serif" w:hAnsi="PT Astra Serif" w:cs="PT Astra Serif"/>
          <w:sz w:val="26"/>
          <w:szCs w:val="26"/>
        </w:rPr>
        <w:t>восемнадцати</w:t>
      </w:r>
      <w:r w:rsidR="007C46BE" w:rsidRPr="007C46BE">
        <w:rPr>
          <w:rFonts w:ascii="PT Astra Serif" w:eastAsia="PT Astra Serif" w:hAnsi="PT Astra Serif" w:cs="PT Astra Serif"/>
          <w:sz w:val="26"/>
          <w:szCs w:val="26"/>
        </w:rPr>
        <w:t xml:space="preserve"> лет,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предшест</w:t>
      </w:r>
      <w:r w:rsidR="005069B3">
        <w:rPr>
          <w:rFonts w:ascii="PT Astra Serif" w:eastAsia="PT Astra Serif" w:hAnsi="PT Astra Serif" w:cs="PT Astra Serif"/>
          <w:sz w:val="26"/>
          <w:szCs w:val="26"/>
        </w:rPr>
        <w:t xml:space="preserve">вующих обращению с заявлением </w:t>
      </w:r>
      <w:r>
        <w:rPr>
          <w:rFonts w:ascii="PT Astra Serif" w:eastAsia="PT Astra Serif" w:hAnsi="PT Astra Serif" w:cs="PT Astra Serif"/>
          <w:sz w:val="26"/>
          <w:szCs w:val="26"/>
        </w:rPr>
        <w:t>о предоставлении земельного участка в собственность, и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участке;</w:t>
      </w:r>
    </w:p>
    <w:p w:rsidR="005069B3" w:rsidRDefault="005069B3" w:rsidP="005069B3">
      <w:pPr>
        <w:spacing w:line="288" w:lineRule="atLeast"/>
        <w:ind w:firstLine="540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предоставленного для ведения личного подсобного хозяйства, садоводства для собственных нужд, индивидуального гаражного или индивидуального жилищного 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lastRenderedPageBreak/>
        <w:t xml:space="preserve">строительства гражданину, 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>стоящ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ему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на учете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>в качестве лиц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а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>, имеющих право на бесплатное предоставление земельн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ого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участк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а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в собственность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в соответствии с 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>Закон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ом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Республики Алтай от 10.11.2015 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№ 68-РЗ </w:t>
      </w:r>
      <w:r w:rsidRPr="005069B3">
        <w:rPr>
          <w:rFonts w:ascii="PT Astra Serif" w:eastAsia="PT Astra Serif" w:hAnsi="PT Astra Serif" w:cs="PT Astra Serif"/>
          <w:sz w:val="26"/>
          <w:szCs w:val="26"/>
          <w:lang w:eastAsia="ru-RU"/>
        </w:rPr>
        <w:t>"О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Алтай"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;</w:t>
      </w:r>
    </w:p>
    <w:p w:rsidR="00EB1584" w:rsidRPr="005069B3" w:rsidRDefault="00741986" w:rsidP="005069B3">
      <w:pPr>
        <w:spacing w:line="288" w:lineRule="atLeast"/>
        <w:ind w:firstLine="540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в случае приватизации жилого помещения, находящегося на земельном участке, в соответствии с Законом Российской Федерации от 4 июля 1991 г. № 1541-1                                  «О приватизации жилищного фонда в Российской Федерации» гражданами, имеющими право пользования жилыми помещениями государственного или муниципального жилищного фонда на условиях социального найма,                                                 и дополнительные гарантии прав на имущество и жилые помещения в соответствии                                     с Федеральным законом от 21 декабря 1996 г. № 159-ФЗ «О дополнительных гарантиях по социальной поддержке детей-сирот и детей, оставшихся без попечения                            родителей»;</w:t>
      </w:r>
    </w:p>
    <w:p w:rsidR="00EB1584" w:rsidRPr="005069B3" w:rsidRDefault="00741986">
      <w:pPr>
        <w:spacing w:line="288" w:lineRule="atLeast"/>
        <w:ind w:firstLine="540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б) в размере 100 процентов от кадастровой стоимости земельного участка                          в отношении иных земельных участков, не указанных в пункте «а» настоящего пункта.</w:t>
      </w:r>
    </w:p>
    <w:p w:rsidR="00EB1584" w:rsidRPr="005069B3" w:rsidRDefault="00741986">
      <w:pPr>
        <w:spacing w:line="288" w:lineRule="atLeast"/>
        <w:ind w:firstLine="540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 случае продажи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 </w:t>
      </w:r>
      <w:r w:rsidR="007C46BE">
        <w:rPr>
          <w:rFonts w:ascii="PT Astra Serif" w:eastAsia="PT Astra Serif" w:hAnsi="PT Astra Serif" w:cs="PT Astra Serif"/>
          <w:sz w:val="26"/>
          <w:szCs w:val="26"/>
          <w:lang w:eastAsia="ru-RU"/>
        </w:rPr>
        <w:t>цена, определяемая в соответствии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</w:t>
      </w:r>
      <w:hyperlink r:id="rId7" w:anchor="P56" w:tooltip="а) в размере 2 процентов от кадастровой стоимости земельного участка:" w:history="1">
        <w:r>
          <w:rPr>
            <w:rFonts w:ascii="PT Astra Serif" w:eastAsia="PT Astra Serif" w:hAnsi="PT Astra Serif" w:cs="PT Astra Serif"/>
            <w:sz w:val="26"/>
            <w:szCs w:val="26"/>
            <w:lang w:eastAsia="ru-RU"/>
          </w:rPr>
          <w:t>подпунктом «а»</w:t>
        </w:r>
      </w:hyperlink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настоящего пункта, применяется однократно, в том</w:t>
      </w:r>
      <w:r w:rsidR="006C33B1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числе, в случае продажи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</w:t>
      </w:r>
      <w:r w:rsidR="006C33B1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 общую собственность, 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если хотя бы один из покупателей </w:t>
      </w:r>
      <w:r w:rsidR="007C46BE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приобретал земельный участок по цене, определяемой в соответствии </w:t>
      </w:r>
      <w:hyperlink r:id="rId8" w:anchor="P56" w:tooltip="а) в размере 2 процентов от кадастровой стоимости земельного участка:" w:history="1">
        <w:r w:rsidR="007C46BE">
          <w:rPr>
            <w:rFonts w:ascii="PT Astra Serif" w:eastAsia="PT Astra Serif" w:hAnsi="PT Astra Serif" w:cs="PT Astra Serif"/>
            <w:sz w:val="26"/>
            <w:szCs w:val="26"/>
            <w:lang w:eastAsia="ru-RU"/>
          </w:rPr>
          <w:t>подпунктом «а»</w:t>
        </w:r>
      </w:hyperlink>
      <w:r w:rsidR="007C46BE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настоящего пункта.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»;</w:t>
      </w:r>
    </w:p>
    <w:p w:rsidR="00EB1584" w:rsidRPr="003D0DDE" w:rsidRDefault="00741986" w:rsidP="003D0DDE">
      <w:pPr>
        <w:spacing w:line="288" w:lineRule="atLeast"/>
        <w:ind w:firstLine="540"/>
        <w:rPr>
          <w:rFonts w:ascii="PT Astra Serif" w:eastAsia="PT Astra Serif" w:hAnsi="PT Astra Serif" w:cs="PT Astra Serif"/>
          <w:sz w:val="26"/>
          <w:szCs w:val="26"/>
          <w:lang w:eastAsia="ru-RU"/>
        </w:rPr>
      </w:pP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б) </w:t>
      </w:r>
      <w:r w:rsidR="003D0DDE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в 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пункт</w:t>
      </w:r>
      <w:r w:rsidR="003D0DDE">
        <w:rPr>
          <w:rFonts w:ascii="PT Astra Serif" w:eastAsia="PT Astra Serif" w:hAnsi="PT Astra Serif" w:cs="PT Astra Serif"/>
          <w:sz w:val="26"/>
          <w:szCs w:val="26"/>
          <w:lang w:eastAsia="ru-RU"/>
        </w:rPr>
        <w:t>е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4</w:t>
      </w:r>
      <w:r w:rsidR="003D0DDE">
        <w:rPr>
          <w:rFonts w:ascii="PT Astra Serif" w:eastAsia="PT Astra Serif" w:hAnsi="PT Astra Serif" w:cs="PT Astra Serif"/>
          <w:sz w:val="26"/>
          <w:szCs w:val="26"/>
          <w:lang w:eastAsia="ru-RU"/>
        </w:rPr>
        <w:t xml:space="preserve"> цифры «10» заменить цифрами «100</w:t>
      </w:r>
      <w:r>
        <w:rPr>
          <w:rFonts w:ascii="PT Astra Serif" w:eastAsia="PT Astra Serif" w:hAnsi="PT Astra Serif" w:cs="PT Astra Serif"/>
          <w:sz w:val="26"/>
          <w:szCs w:val="26"/>
          <w:lang w:eastAsia="ru-RU"/>
        </w:rPr>
        <w:t>».</w:t>
      </w:r>
      <w:permStart w:id="773942320" w:edGrp="everyone"/>
      <w:permEnd w:id="773942320"/>
    </w:p>
    <w:p w:rsidR="00EB1584" w:rsidRDefault="00EB1584">
      <w:pPr>
        <w:rPr>
          <w:rFonts w:ascii="PT Astra Serif" w:hAnsi="PT Astra Serif" w:cs="PT Astra Serif"/>
          <w:sz w:val="26"/>
          <w:szCs w:val="26"/>
        </w:rPr>
      </w:pPr>
    </w:p>
    <w:p w:rsidR="00EB1584" w:rsidRDefault="00EB1584">
      <w:pPr>
        <w:rPr>
          <w:rFonts w:ascii="PT Astra Serif" w:hAnsi="PT Astra Serif" w:cs="PT Astra Serif"/>
          <w:sz w:val="26"/>
          <w:szCs w:val="26"/>
        </w:rPr>
      </w:pPr>
    </w:p>
    <w:p w:rsidR="00EB1584" w:rsidRDefault="00EB1584">
      <w:pPr>
        <w:rPr>
          <w:rFonts w:ascii="PT Astra Serif" w:hAnsi="PT Astra Serif" w:cs="PT Astra Serif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EB1584">
        <w:tc>
          <w:tcPr>
            <w:tcW w:w="4820" w:type="dxa"/>
            <w:shd w:val="clear" w:color="auto" w:fill="auto"/>
          </w:tcPr>
          <w:p w:rsidR="00EB1584" w:rsidRDefault="00741986">
            <w:pPr>
              <w:spacing w:line="288" w:lineRule="atLeast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  <w:lang w:eastAsia="ru-RU"/>
              </w:rPr>
              <w:t xml:space="preserve">Председатель Правительства </w:t>
            </w:r>
          </w:p>
          <w:p w:rsidR="00EB1584" w:rsidRDefault="00741986">
            <w:pPr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  <w:lang w:eastAsia="ru-RU"/>
              </w:rPr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1584" w:rsidRDefault="00EB1584">
            <w:pPr>
              <w:ind w:left="2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409" w:type="dxa"/>
            <w:shd w:val="clear" w:color="auto" w:fill="auto"/>
            <w:vAlign w:val="bottom"/>
          </w:tcPr>
          <w:p w:rsidR="00EB1584" w:rsidRDefault="00EB1584"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bookmarkStart w:id="3" w:name="SIGNERNAME1"/>
            <w:bookmarkEnd w:id="3"/>
          </w:p>
        </w:tc>
      </w:tr>
    </w:tbl>
    <w:p w:rsidR="00EB1584" w:rsidRPr="005069B3" w:rsidRDefault="00741986">
      <w:pPr>
        <w:rPr>
          <w:rFonts w:ascii="PT Astra Serif" w:hAnsi="PT Astra Serif" w:cs="PT Astra Serif"/>
          <w:sz w:val="26"/>
          <w:szCs w:val="26"/>
        </w:rPr>
        <w:sectPr w:rsidR="00EB1584" w:rsidRPr="005069B3">
          <w:pgSz w:w="11906" w:h="16838"/>
          <w:pgMar w:top="567" w:right="567" w:bottom="1134" w:left="1701" w:header="709" w:footer="709" w:gutter="0"/>
          <w:cols w:space="708"/>
        </w:sectPr>
      </w:pPr>
      <w:permStart w:id="1665951930" w:edGrp="everyone"/>
      <w:r>
        <w:rPr>
          <w:rFonts w:ascii="PT Astra Serif" w:eastAsia="PT Astra Serif" w:hAnsi="PT Astra Serif" w:cs="PT Astra Serif"/>
          <w:sz w:val="26"/>
          <w:szCs w:val="26"/>
        </w:rPr>
        <w:br w:type="page" w:clear="all"/>
      </w:r>
      <w:permEnd w:id="1665951930"/>
    </w:p>
    <w:p w:rsidR="00EB1584" w:rsidRDefault="00EB1584" w:rsidP="005069B3"/>
    <w:sectPr w:rsidR="00EB1584">
      <w:pgSz w:w="16838" w:h="11906" w:orient="landscape"/>
      <w:pgMar w:top="170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6C" w:rsidRDefault="00A3626C">
      <w:r>
        <w:separator/>
      </w:r>
    </w:p>
  </w:endnote>
  <w:endnote w:type="continuationSeparator" w:id="0">
    <w:p w:rsidR="00A3626C" w:rsidRDefault="00A3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6C" w:rsidRDefault="00A3626C">
      <w:r>
        <w:separator/>
      </w:r>
    </w:p>
  </w:footnote>
  <w:footnote w:type="continuationSeparator" w:id="0">
    <w:p w:rsidR="00A3626C" w:rsidRDefault="00A3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84"/>
    <w:rsid w:val="003A5BC8"/>
    <w:rsid w:val="003D0DDE"/>
    <w:rsid w:val="005069B3"/>
    <w:rsid w:val="006C33B1"/>
    <w:rsid w:val="00741986"/>
    <w:rsid w:val="007C46BE"/>
    <w:rsid w:val="00A3626C"/>
    <w:rsid w:val="00EB1584"/>
    <w:rsid w:val="00FA7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C8F39-D109-4F4C-A4A8-77F4E0BD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ff1"/>
    <w:uiPriority w:val="59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paragraph" w:styleId="aff5">
    <w:name w:val="Normal (Web)"/>
    <w:basedOn w:val="a"/>
    <w:uiPriority w:val="99"/>
    <w:unhideWhenUsed/>
    <w:rsid w:val="007C46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60;&#1077;&#1076;&#1086;&#1090;&#1086;&#1074;%20&#1057;&#1053;\&#1055;&#1088;&#1086;&#1077;&#1082;&#1090;&#1099;%20&#1053;&#1055;&#1040;%20-%20&#1074;&#1089;&#1077;%20&#1079;&#1076;&#1077;&#1089;&#1100;\&#1048;&#1079;&#1084;&#1077;&#1085;&#1077;&#1085;&#1080;&#1103;%20&#1055;&#1055;%20&#1056;&#1040;%20138\&#1055;&#1055;%20&#1056;&#1040;%20138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&#1060;&#1077;&#1076;&#1086;&#1090;&#1086;&#1074;%20&#1057;&#1053;\&#1055;&#1088;&#1086;&#1077;&#1082;&#1090;&#1099;%20&#1053;&#1055;&#1040;%20-%20&#1074;&#1089;&#1077;%20&#1079;&#1076;&#1077;&#1089;&#1100;\&#1048;&#1079;&#1084;&#1077;&#1085;&#1077;&#1085;&#1080;&#1103;%20&#1055;&#1055;%20&#1056;&#1040;%20138\&#1055;&#1055;%20&#1056;&#1040;%20138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Минэкономразвития РА</cp:lastModifiedBy>
  <cp:revision>2</cp:revision>
  <cp:lastPrinted>2026-05-29T08:27:00Z</cp:lastPrinted>
  <dcterms:created xsi:type="dcterms:W3CDTF">2026-06-05T11:22:00Z</dcterms:created>
  <dcterms:modified xsi:type="dcterms:W3CDTF">2026-06-05T11:22:00Z</dcterms:modified>
</cp:coreProperties>
</file>