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21"/>
        <w:tblW w:w="9720" w:type="dxa"/>
        <w:tblInd w:w="-1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>
        <w:tblPrEx/>
        <w:trPr>
          <w:trHeight w:val="1134" w:hRule="exact"/>
        </w:trPr>
        <w:tc>
          <w:tcPr>
            <w:tcW w:w="4320" w:type="dxa"/>
            <w:textDirection w:val="lrTb"/>
            <w:noWrap w:val="false"/>
          </w:tcPr>
          <w:p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5600" cy="612000"/>
                      <wp:effectExtent l="19050" t="0" r="0" b="0"/>
                      <wp:docPr id="1" name="Рисунок 1" descr="C:\Users\User\Desktop\ГЕРБ РА [преобразованный]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C:\Users\User\Desktop\ГЕРБ РА [преобразованный]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5600" cy="612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8.47pt;height:48.19pt;mso-wrap-distance-left:0.00pt;mso-wrap-distance-top:0.00pt;mso-wrap-distance-right:0.00pt;mso-wrap-distance-bottom:0.00pt;" stroked="f" strokeweight="0.75pt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  <w:tr>
        <w:tblPrEx/>
        <w:trPr>
          <w:trHeight w:val="851" w:hRule="exact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ПРАВИТЕЛЬСТВО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РЕСПУБЛИКИ АЛТАЙ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 xml:space="preserve">АЛТАЙ РЕСПУБЛИКАНЫҤ</w:t>
            </w:r>
            <w:r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 xml:space="preserve">БАШКАРУЗЫ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  <w:tr>
        <w:tblPrEx/>
        <w:trPr>
          <w:trHeight w:val="170" w:hRule="exact"/>
        </w:trPr>
        <w:tc>
          <w:tcPr>
            <w:gridSpan w:val="3"/>
            <w:tcBorders>
              <w:bottom w:val="single" w:color="auto" w:sz="24" w:space="0"/>
            </w:tcBorders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</w:p>
        </w:tc>
      </w:tr>
      <w:tr>
        <w:tblPrEx/>
        <w:trPr>
          <w:trHeight w:val="283" w:hRule="exact"/>
        </w:trPr>
        <w:tc>
          <w:tcPr>
            <w:gridSpan w:val="3"/>
            <w:tcBorders>
              <w:top w:val="single" w:color="auto" w:sz="24" w:space="0"/>
            </w:tcBorders>
            <w:tcW w:w="9720" w:type="dxa"/>
            <w:textDirection w:val="lrTb"/>
            <w:noWrap w:val="false"/>
          </w:tcPr>
          <w:p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</w:r>
          </w:p>
        </w:tc>
      </w:tr>
      <w:tr>
        <w:tblPrEx/>
        <w:trPr>
          <w:trHeight w:val="283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ПОСТАНОВЛЕНИЕ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ЈӦП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left"/>
              <w:tabs>
                <w:tab w:val="center" w:pos="4292" w:leader="none"/>
              </w:tabs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r/>
            <w:bookmarkEnd w:id="0"/>
            <w:r/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  <w:p>
            <w:pPr>
              <w:jc w:val="left"/>
              <w:tabs>
                <w:tab w:val="center" w:pos="4292" w:leader="none"/>
              </w:tabs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г. Горно-Алтайск</w:t>
            </w:r>
            <w:r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/>
            <w:permStart w:edGrp="everyone" w:id="647308797"/>
            <w:r>
              <w:rPr>
                <w:rFonts w:ascii="PT Astra Serif" w:hAnsi="PT Astra Serif"/>
                <w:b/>
                <w:sz w:val="26"/>
                <w:szCs w:val="26"/>
              </w:rPr>
              <w:t xml:space="preserve">Об установлении особенностей использования субсидий Микрокредитной компанией, некоммерческой организацией «Фонд поддержки малого и среднего предпринимательства Республики Алта</w:t>
            </w:r>
            <w:r>
              <w:rPr>
                <w:rFonts w:ascii="PT Astra Serif" w:hAnsi="PT Astra Serif"/>
                <w:b/>
                <w:sz w:val="26"/>
                <w:szCs w:val="26"/>
              </w:rPr>
              <w:t xml:space="preserve">й</w:t>
            </w:r>
            <w:bookmarkStart w:id="1" w:name="_GoBack"/>
            <w:r/>
            <w:bookmarkEnd w:id="1"/>
            <w:r/>
            <w:permEnd w:id="647308797"/>
            <w:r/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</w:r>
          </w:p>
        </w:tc>
      </w:tr>
    </w:tbl>
    <w:p>
      <w:pPr>
        <w:pStyle w:val="732"/>
        <w:ind w:firstLine="709"/>
        <w:jc w:val="both"/>
        <w:spacing w:after="0" w:line="240" w:lineRule="auto"/>
        <w:shd w:val="clear" w:color="auto" w:fill="ffffff"/>
        <w:rPr>
          <w:rFonts w:ascii="PT Astra Serif" w:hAnsi="PT Astra Serif" w:cs="Times New Roman"/>
          <w:sz w:val="26"/>
          <w:szCs w:val="26"/>
        </w:rPr>
      </w:pPr>
      <w:r/>
      <w:permStart w:edGrp="everyone" w:id="709842099"/>
      <w:r>
        <w:rPr>
          <w:rFonts w:ascii="PT Astra Serif" w:hAnsi="PT Astra Serif" w:cs="Times New Roman"/>
          <w:sz w:val="26"/>
          <w:szCs w:val="26"/>
        </w:rPr>
        <w:t xml:space="preserve">В соответствии со статьями 242.23, 242.26 Бюджетного кодекса Российской Федерации, частью 9 статьи</w:t>
      </w:r>
      <w:r>
        <w:rPr>
          <w:rFonts w:ascii="PT Astra Serif" w:hAnsi="PT Astra Serif" w:cs="Times New Roman"/>
          <w:sz w:val="26"/>
          <w:szCs w:val="26"/>
        </w:rPr>
        <w:t xml:space="preserve"> 11 Федерального закона от 31 декабря 2014 г. № 488-ФЗ «О промышленной политике в Российской Федерации», постановлением Правительства Российской Федерации от 24 ноября 2021 г. № 2024 «О правилах казначейского сопровождения», Правительство Республики Алтай </w:t>
      </w:r>
      <w:r>
        <w:rPr>
          <w:rFonts w:ascii="PT Astra Serif" w:hAnsi="PT Astra Serif" w:cs="Times New Roman"/>
          <w:sz w:val="26"/>
          <w:szCs w:val="26"/>
        </w:rPr>
        <w:br/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п о с т а н о в л я е т: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731"/>
        <w:numPr>
          <w:ilvl w:val="0"/>
          <w:numId w:val="1"/>
        </w:numPr>
        <w:ind w:left="0" w:firstLine="709"/>
        <w:jc w:val="both"/>
        <w:spacing w:before="0" w:beforeAutospacing="0" w:after="0" w:afterAutospacing="0" w:line="288" w:lineRule="atLeast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Установить следующие особенности использования средств субсидий, предоставленных Микрокредитной компании, некоммерческой организации «Фонд поддержки малого и среднего предпринимательства </w:t>
      </w:r>
      <w:r>
        <w:rPr>
          <w:rFonts w:ascii="PT Astra Serif" w:hAnsi="PT Astra Serif"/>
          <w:sz w:val="26"/>
          <w:szCs w:val="26"/>
        </w:rPr>
        <w:t xml:space="preserve">Республики Алтай» (далее – Фонд), средств, полученных Фондом от уплаты процентов, иных доходов в форме штрафов и пеней по займам, выданным субъектам деятельности в сфере промышленности, источником финансового обеспечения которых являются средства субсидий:</w:t>
      </w:r>
      <w:r>
        <w:rPr>
          <w:rFonts w:ascii="PT Astra Serif" w:hAnsi="PT Astra Serif"/>
          <w:sz w:val="26"/>
          <w:szCs w:val="26"/>
        </w:rPr>
      </w:r>
    </w:p>
    <w:p>
      <w:pPr>
        <w:pStyle w:val="731"/>
        <w:numPr>
          <w:ilvl w:val="1"/>
          <w:numId w:val="1"/>
        </w:numPr>
        <w:ind w:left="0" w:firstLine="709"/>
        <w:jc w:val="both"/>
        <w:spacing w:before="0" w:beforeAutospacing="0" w:after="0" w:afterAutospacing="0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Субсидии, предоставленные в соответствии с соглашением о предоставлении из республиканского бюджета Республики Алтай субсидии некоммерческой организации, не являющейся государственным (муниципальным) учреждением от 18 декабря 2020 г. № 1 (далее</w:t>
      </w:r>
      <w:r>
        <w:rPr>
          <w:rFonts w:ascii="PT Astra Serif" w:hAnsi="PT Astra Serif"/>
          <w:b/>
          <w:bCs/>
          <w:sz w:val="26"/>
          <w:szCs w:val="26"/>
        </w:rPr>
        <w:t xml:space="preserve"> -</w:t>
      </w:r>
      <w:r>
        <w:rPr>
          <w:rFonts w:ascii="PT Astra Serif" w:hAnsi="PT Astra Serif"/>
          <w:sz w:val="26"/>
          <w:szCs w:val="26"/>
        </w:rPr>
        <w:t xml:space="preserve"> Соглашение № 1), соглашением о предоставлении из республиканского бюджета Республики Алтай субсидии некоммерческой организации, не являющейся государственным (муниципальным) учреждением от 24 декабря 2020 г. № 2 (далее </w:t>
      </w:r>
      <w:r>
        <w:rPr>
          <w:rFonts w:ascii="PT Astra Serif" w:hAnsi="PT Astra Serif"/>
          <w:b/>
          <w:bCs/>
          <w:sz w:val="26"/>
          <w:szCs w:val="26"/>
        </w:rPr>
        <w:t xml:space="preserve">- </w:t>
      </w:r>
      <w:r>
        <w:rPr>
          <w:rFonts w:ascii="PT Astra Serif" w:hAnsi="PT Astra Serif"/>
          <w:sz w:val="26"/>
          <w:szCs w:val="26"/>
        </w:rPr>
        <w:t xml:space="preserve">Соглашение № 2), соглашением о предоставлении из бюджета Республики Алтай субсидии некоммерческой организации, не являющейся государственным (муниципальным) учреждением от 8 декабря 2021 г. № 40-2021-02703 (далее </w:t>
      </w:r>
      <w:r>
        <w:rPr>
          <w:rFonts w:ascii="PT Astra Serif" w:hAnsi="PT Astra Serif"/>
          <w:b/>
          <w:bCs/>
          <w:sz w:val="26"/>
          <w:szCs w:val="26"/>
        </w:rPr>
        <w:t xml:space="preserve">-</w:t>
      </w:r>
      <w:r>
        <w:rPr>
          <w:rFonts w:ascii="PT Astra Serif" w:hAnsi="PT Astra Serif"/>
          <w:sz w:val="26"/>
          <w:szCs w:val="26"/>
        </w:rPr>
        <w:t xml:space="preserve"> Согл</w:t>
      </w:r>
      <w:r>
        <w:rPr>
          <w:rFonts w:ascii="PT Astra Serif" w:hAnsi="PT Astra Serif"/>
          <w:sz w:val="26"/>
          <w:szCs w:val="26"/>
        </w:rPr>
        <w:t xml:space="preserve">ашение № 40-2021-02703), соглашением о предоставлении из республиканского бюджета Республики Алтай субсидии на финансовое обеспечение деятельности (докапитализации) фонда развития промышленности Республики Алтай в целях предоставления финансовой поддержки </w:t>
      </w:r>
      <w:r>
        <w:rPr>
          <w:rFonts w:ascii="PT Astra Serif" w:hAnsi="PT Astra Serif"/>
          <w:sz w:val="26"/>
          <w:szCs w:val="26"/>
        </w:rPr>
        <w:t xml:space="preserve">субъектам промышленности в форме грантов от 16 июня 2022 г. № 40-2022-001510 (далее </w:t>
      </w:r>
      <w:r>
        <w:rPr>
          <w:rFonts w:ascii="PT Astra Serif" w:hAnsi="PT Astra Serif"/>
          <w:b/>
          <w:bCs/>
          <w:sz w:val="26"/>
          <w:szCs w:val="26"/>
        </w:rPr>
        <w:t xml:space="preserve">- </w:t>
      </w:r>
      <w:r>
        <w:rPr>
          <w:rFonts w:ascii="PT Astra Serif" w:hAnsi="PT Astra Serif"/>
          <w:sz w:val="26"/>
          <w:szCs w:val="26"/>
        </w:rPr>
        <w:t xml:space="preserve">Соглашение № 40-2022-001510), соглашением о предоставлении из республиканского бюджета Республики</w:t>
      </w:r>
      <w:r>
        <w:rPr>
          <w:rFonts w:ascii="PT Astra Serif" w:hAnsi="PT Astra Serif"/>
          <w:sz w:val="26"/>
          <w:szCs w:val="26"/>
        </w:rPr>
        <w:t xml:space="preserve"> Алтай субсидии на финансовое обеспечение затрат некоммерческих организаций, связанных с предоставлением доступа субъектов деятельности в сфере промышленности к финансовым ресурсам (займам на льготных условиях) от 20 декабря 2022 г. № 40-2022-002920 (далее</w:t>
      </w:r>
      <w:r>
        <w:rPr>
          <w:rFonts w:ascii="PT Astra Serif" w:hAnsi="PT Astra Serif"/>
          <w:b/>
          <w:bCs/>
          <w:sz w:val="26"/>
          <w:szCs w:val="26"/>
        </w:rPr>
        <w:t xml:space="preserve"> -</w:t>
      </w:r>
      <w:r>
        <w:rPr>
          <w:rFonts w:ascii="PT Astra Serif" w:hAnsi="PT Astra Serif"/>
          <w:sz w:val="26"/>
          <w:szCs w:val="26"/>
        </w:rPr>
        <w:t xml:space="preserve"> Соглашение № 40-2022-002920) (далее – Субсидии) под</w:t>
      </w:r>
      <w:r>
        <w:rPr>
          <w:rFonts w:ascii="PT Astra Serif" w:hAnsi="PT Astra Serif"/>
          <w:sz w:val="26"/>
          <w:szCs w:val="26"/>
        </w:rPr>
        <w:t xml:space="preserve">лежат казначейскому сопровождению, которое осуществляется в порядке, определенным Правилами казначейского сопровождения, осуществляемого Федеральным казначейством, утвержденными постановлением Правительства Российской Федерации от 24 ноября 2021 г. № 2024.</w:t>
      </w:r>
      <w:r>
        <w:rPr>
          <w:rFonts w:ascii="PT Astra Serif" w:hAnsi="PT Astra Serif"/>
          <w:sz w:val="26"/>
          <w:szCs w:val="26"/>
        </w:rPr>
      </w:r>
    </w:p>
    <w:p>
      <w:pPr>
        <w:pStyle w:val="731"/>
        <w:numPr>
          <w:ilvl w:val="1"/>
          <w:numId w:val="1"/>
        </w:numPr>
        <w:ind w:left="0" w:firstLine="709"/>
        <w:jc w:val="both"/>
        <w:spacing w:before="0" w:beforeAutospacing="0" w:after="0" w:afterAutospacing="0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Средства, полученные Фондом от возврата основного д</w:t>
      </w:r>
      <w:r>
        <w:rPr>
          <w:rFonts w:ascii="PT Astra Serif" w:hAnsi="PT Astra Serif"/>
          <w:sz w:val="26"/>
          <w:szCs w:val="26"/>
        </w:rPr>
        <w:t xml:space="preserve">олга выданных займов, источником финансового обеспечения которых являлись средства субсидий, предоставленные в соответствии с Соглашением № 40-2021-02703, Соглашением № 40-2022-001510, процентов по ним, а также иных доходов в форме штрафов и пени, могут ис</w:t>
      </w:r>
      <w:r>
        <w:rPr>
          <w:rFonts w:ascii="PT Astra Serif" w:hAnsi="PT Astra Serif"/>
          <w:sz w:val="26"/>
          <w:szCs w:val="26"/>
        </w:rPr>
        <w:t xml:space="preserve">пользоваться исключительно на цели оказания финансовой поддержки субъектов деятельности в сфере промышленности в соответствии со статьей 11 Федерального закона от 31 декабря 2014 г. № 488-ФЗ «О промышленной политике в Российской Федерации» и уставом Фонда.</w:t>
      </w:r>
      <w:r>
        <w:rPr>
          <w:rFonts w:ascii="PT Astra Serif" w:hAnsi="PT Astra Serif"/>
          <w:sz w:val="26"/>
          <w:szCs w:val="26"/>
        </w:rPr>
      </w:r>
    </w:p>
    <w:p>
      <w:pPr>
        <w:pStyle w:val="731"/>
        <w:numPr>
          <w:ilvl w:val="1"/>
          <w:numId w:val="1"/>
        </w:numPr>
        <w:ind w:left="0" w:firstLine="709"/>
        <w:jc w:val="both"/>
        <w:spacing w:before="0" w:beforeAutospacing="0" w:after="0" w:afterAutospacing="0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Средства, полученные Фондом от возврата основного долга выданных займов, источником финансового обеспечения которых являлись средства субсидий, предо</w:t>
      </w:r>
      <w:r>
        <w:rPr>
          <w:rFonts w:ascii="PT Astra Serif" w:hAnsi="PT Astra Serif"/>
          <w:sz w:val="26"/>
          <w:szCs w:val="26"/>
        </w:rPr>
        <w:t xml:space="preserve">ставленные в соответствии с Соглашением № 1, Соглашением № 2, Соглашением № 40-2022-002920, могут использоваться исключительно на цели предоставления доступа субъектов деятельности в сфере промышленности к финансовым ресурсам (займам на льготных условиях).</w:t>
      </w:r>
      <w:r>
        <w:rPr>
          <w:rFonts w:ascii="PT Astra Serif" w:hAnsi="PT Astra Serif"/>
          <w:sz w:val="26"/>
          <w:szCs w:val="26"/>
        </w:rPr>
      </w:r>
    </w:p>
    <w:p>
      <w:pPr>
        <w:pStyle w:val="731"/>
        <w:numPr>
          <w:ilvl w:val="1"/>
          <w:numId w:val="1"/>
        </w:numPr>
        <w:ind w:left="0" w:firstLine="709"/>
        <w:jc w:val="both"/>
        <w:spacing w:before="0" w:beforeAutospacing="0" w:after="0" w:afterAutospacing="0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Средства, полученные Фондом от уплаты процентов, иных доходов в форме штрафов и пеней по займам, выданным субъектам деятельности в сфере промышленности, источником финансового обеспечения которых являлись средства субсидий, предоставленные Фонду в с</w:t>
      </w:r>
      <w:r>
        <w:rPr>
          <w:rFonts w:ascii="PT Astra Serif" w:hAnsi="PT Astra Serif"/>
          <w:sz w:val="26"/>
          <w:szCs w:val="26"/>
        </w:rPr>
        <w:t xml:space="preserve">оответствии с Соглашением № 1, Соглашением № 2, Соглашением № 40-2022-002920, могут использоваться исключительно на цели обеспечения деятельности Фонда в соответствии со сметой доходов и расходов, утвержденной попечительским (наблюдательным) советом Фонда.</w:t>
      </w:r>
      <w:r>
        <w:rPr>
          <w:rFonts w:ascii="PT Astra Serif" w:hAnsi="PT Astra Serif"/>
          <w:sz w:val="26"/>
          <w:szCs w:val="26"/>
        </w:rPr>
      </w:r>
    </w:p>
    <w:p>
      <w:pPr>
        <w:pStyle w:val="731"/>
        <w:numPr>
          <w:ilvl w:val="1"/>
          <w:numId w:val="1"/>
        </w:numPr>
        <w:ind w:left="0" w:firstLine="709"/>
        <w:jc w:val="both"/>
        <w:spacing w:before="0" w:beforeAutospacing="0" w:after="0" w:afterAutospacing="0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Операции со средствами, поступившими от возврата основного долга, процентов, иных доходов в форме штрафов и пеней по займам, выданным субъектам деятельности в сфере промышл</w:t>
      </w:r>
      <w:r>
        <w:rPr>
          <w:rFonts w:ascii="PT Astra Serif" w:hAnsi="PT Astra Serif"/>
          <w:sz w:val="26"/>
          <w:szCs w:val="26"/>
        </w:rPr>
        <w:t xml:space="preserve">енности, источником финансового обеспечения которых являлись средства Субсидий, Фонд осуществляет на лицевом счете, открытом в Управлении Федерального казначейства по Республике Алтай для учета операций со средствами участников казначейского сопровождения.</w:t>
      </w:r>
      <w:r>
        <w:rPr>
          <w:rFonts w:ascii="PT Astra Serif" w:hAnsi="PT Astra Serif"/>
          <w:sz w:val="26"/>
          <w:szCs w:val="26"/>
        </w:rPr>
      </w:r>
    </w:p>
    <w:p>
      <w:pPr>
        <w:pStyle w:val="731"/>
        <w:numPr>
          <w:ilvl w:val="1"/>
          <w:numId w:val="1"/>
        </w:numPr>
        <w:ind w:left="0" w:firstLine="709"/>
        <w:jc w:val="both"/>
        <w:spacing w:before="0" w:beforeAutospacing="0" w:after="0" w:afterAutospacing="0"/>
        <w:tabs>
          <w:tab w:val="left" w:pos="993" w:leader="none"/>
        </w:tabs>
        <w:rPr>
          <w:rFonts w:ascii="PT Astra Serif" w:hAnsi="PT Astra Serif"/>
        </w:rPr>
      </w:pPr>
      <w:r>
        <w:rPr>
          <w:rFonts w:ascii="PT Astra Serif" w:hAnsi="PT Astra Serif"/>
          <w:sz w:val="26"/>
          <w:szCs w:val="26"/>
        </w:rPr>
        <w:t xml:space="preserve">Фонду обеспечить перечисление остатков средств Субсидий, средств, полученных от уплаты процентов, иных доходов в форме штрафов и пеней по займам, выданным субъектам деятельности в сфере промышленности, источником финансового обеспечения которых </w:t>
      </w:r>
      <w:r>
        <w:rPr>
          <w:rFonts w:ascii="PT Astra Serif" w:hAnsi="PT Astra Serif"/>
          <w:sz w:val="26"/>
          <w:szCs w:val="26"/>
        </w:rPr>
        <w:t xml:space="preserve">являлись средства Субсидий, с расчетных счетов открытых Фондом в кредитных учреждениях на лицевой счет, открытый Фонду в Управлении Федерального казначейства по Республике Алтай, в течение 15 рабочих дней, со дня вступления в силу настоящего постановления.</w:t>
      </w:r>
      <w:r>
        <w:rPr>
          <w:rFonts w:ascii="PT Astra Serif" w:hAnsi="PT Astra Serif"/>
        </w:rPr>
      </w:r>
    </w:p>
    <w:p>
      <w:pPr>
        <w:pStyle w:val="731"/>
        <w:numPr>
          <w:ilvl w:val="0"/>
          <w:numId w:val="1"/>
        </w:numPr>
        <w:ind w:left="0" w:firstLine="540"/>
        <w:jc w:val="both"/>
        <w:spacing w:before="0" w:beforeAutospacing="0" w:after="0" w:afterAutospacing="0"/>
        <w:tabs>
          <w:tab w:val="left" w:pos="993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Настоящее постановление вступает в силу со дня его официального опубликования.</w:t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</w:r>
    </w:p>
    <w:p>
      <w:pPr>
        <w:pStyle w:val="724"/>
        <w:ind w:firstLine="709"/>
        <w:jc w:val="both"/>
        <w:widowControl w:val="off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</w:r>
      <w:permEnd w:id="709842099"/>
      <w:r>
        <w:rPr>
          <w:rFonts w:ascii="PT Astra Serif" w:hAnsi="PT Astra Serif"/>
          <w:color w:val="000000" w:themeColor="text1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>
        <w:tblPrEx/>
        <w:trPr/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Республики Алтай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W w:w="2410" w:type="dxa"/>
            <w:vAlign w:val="center"/>
            <w:textDirection w:val="lrTb"/>
            <w:noWrap w:val="false"/>
          </w:tcPr>
          <w:p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/>
            <w:bookmarkStart w:id="2" w:name="SIGNERSTAMP1"/>
            <w:r/>
            <w:bookmarkEnd w:id="2"/>
            <w:r/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r/>
            <w:bookmarkStart w:id="3" w:name="SIGNERNAME1"/>
            <w:r/>
            <w:bookmarkEnd w:id="3"/>
            <w:r/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</w:tbl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  <w:sectPr>
          <w:headerReference w:type="default" r:id="rId9"/>
          <w:headerReference w:type="even" r:id="rId10"/>
          <w:headerReference w:type="first" r:id="rId11"/>
          <w:footerReference w:type="default" r:id="rId12"/>
          <w:footerReference w:type="even" r:id="rId13"/>
          <w:footerReference w:type="first" r:id="rId14"/>
          <w:footnotePr/>
          <w:endnotePr/>
          <w:type w:val="nextPage"/>
          <w:pgSz w:w="11906" w:h="16838" w:orient="portrait"/>
          <w:pgMar w:top="567" w:right="567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left="120" w:right="-5" w:hanging="119"/>
        <w:jc w:val="center"/>
        <w:shd w:val="clear" w:color="auto" w:fill="ffffff"/>
        <w:widowControl w:val="off"/>
        <w:tabs>
          <w:tab w:val="left" w:pos="5220" w:leader="none"/>
        </w:tabs>
        <w:rPr>
          <w:rFonts w:ascii="PT Astra Serif" w:hAnsi="PT Astra Serif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6"/>
          <w:szCs w:val="26"/>
          <w:lang w:eastAsia="ru-RU"/>
        </w:rPr>
        <w:t xml:space="preserve">ПОЯСНИТЕЛЬНАЯ ЗАПИСКА</w:t>
      </w:r>
      <w:r>
        <w:rPr>
          <w:rFonts w:ascii="PT Astra Serif" w:hAnsi="PT Astra Serif" w:eastAsia="Times New Roman" w:cs="Times New Roman"/>
          <w:b/>
          <w:bCs/>
          <w:sz w:val="26"/>
          <w:szCs w:val="26"/>
          <w:lang w:eastAsia="ru-RU"/>
        </w:rPr>
      </w:r>
    </w:p>
    <w:p>
      <w:pPr>
        <w:jc w:val="center"/>
        <w:widowControl w:val="off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6"/>
          <w:szCs w:val="26"/>
          <w:lang w:eastAsia="ru-RU"/>
        </w:rPr>
        <w:t xml:space="preserve">к проекту постановления Правительства Республики Алтай «Об установлении особенностей использования субсидий Микрокредитной компанией, некоммерческой организацией «Фонд поддержки малого и среднего предпринимательства Республики Алтай» </w:t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  <w:t xml:space="preserve">(далее – проект постановления)</w:t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</w:p>
    <w:p>
      <w:pPr>
        <w:ind w:hanging="119"/>
        <w:jc w:val="center"/>
        <w:widowControl w:val="off"/>
        <w:rPr>
          <w:rFonts w:ascii="PT Astra Serif" w:hAnsi="PT Astra Serif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b/>
          <w:bCs/>
          <w:sz w:val="26"/>
          <w:szCs w:val="26"/>
          <w:lang w:eastAsia="ru-RU"/>
        </w:rPr>
      </w:r>
      <w:r>
        <w:rPr>
          <w:rFonts w:ascii="PT Astra Serif" w:hAnsi="PT Astra Serif" w:eastAsia="Times New Roman" w:cs="Times New Roman"/>
          <w:b/>
          <w:bCs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Calibri"/>
          <w:sz w:val="26"/>
          <w:szCs w:val="26"/>
          <w:lang w:eastAsia="ru-RU"/>
        </w:rPr>
      </w:pP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«Об устан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овлении особенностей использования субсидий Микрокредитной компанией, некоммерческой организацией «Фонд поддержки малого и среднего предпринимательства Республики Алтай» является Министерство экономического развития Республики Алтай (далее – Министерство).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Calibri"/>
          <w:sz w:val="26"/>
          <w:szCs w:val="26"/>
          <w:lang w:eastAsia="ru-RU"/>
        </w:rPr>
      </w:pP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Предметом правового регулирования проекта постановления является уст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ановлении особенностей использования субсидий Микрокредитной компанией, некоммерческой организацией «Фонд поддержки малого и среднего предпринимательства Республики Алтай», в рамках деятельности регионального фонда развития промышленности Республики Алтай.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Calibri"/>
          <w:sz w:val="26"/>
          <w:szCs w:val="26"/>
          <w:lang w:eastAsia="ru-RU"/>
        </w:rPr>
      </w:pPr>
      <w:r>
        <w:rPr>
          <w:rFonts w:ascii="PT Astra Serif" w:hAnsi="PT Astra Serif" w:eastAsia="Times New Roman" w:cs="Calibri"/>
          <w:color w:val="000000"/>
          <w:sz w:val="26"/>
          <w:szCs w:val="26"/>
          <w:lang w:eastAsia="ru-RU"/>
        </w:rPr>
        <w:t xml:space="preserve">Правовым основанием принятия проекта </w:t>
      </w:r>
      <w:r>
        <w:rPr>
          <w:rFonts w:ascii="PT Astra Serif" w:hAnsi="PT Astra Serif" w:eastAsia="Times New Roman" w:cs="PT Astra Serif"/>
          <w:sz w:val="26"/>
          <w:szCs w:val="26"/>
          <w:lang w:eastAsia="ru-RU"/>
        </w:rPr>
        <w:t xml:space="preserve">постановления является част 9 статьи 11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 Федерального закона о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т 31 декабря 2014 г. № 488-ФЗ «О промышленной политике в Российской Федерации», согласно которой государственные фонды развития промышленности осуществляют операции со средствами, поступившими в соответствии с законодательством Российской Федерации из соот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ветствующего бюджета бюджетной системы Российской Федерации, на лицевых счетах, открываемых в территориальном органе Федерального казначейства или финансовом органе субъекта Российской Федерации, в том числе со средствами, полученными при возврате выданных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 займов, источником финансового обеспечения которых являлись средства, предоставленные из соответствующего бюджета бюджетной системы Российской Федерации. Иные средства могут учитываться на открытых государственным фондом развития промышленности счетах в к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редитных организациях. Средства, полученные государственным фондом развития промышленности при возврате выданных им займов, могут быть направлены на осуществление уставной деятельности государственного фонда развития промышленности в любом финансовом году.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</w:r>
    </w:p>
    <w:p>
      <w:pPr>
        <w:ind w:firstLine="709"/>
        <w:rPr>
          <w:rFonts w:ascii="PT Astra Serif" w:hAnsi="PT Astra Serif" w:eastAsia="Times New Roman" w:cs="Calibri"/>
          <w:sz w:val="26"/>
          <w:szCs w:val="26"/>
          <w:lang w:eastAsia="ru-RU"/>
        </w:rPr>
      </w:pP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Министерством экономического развития Республики Алтай проведена антикоррупционная экспертиза проект постановления, по результатам которой положения, способствующие созданию условий для проявления коррупции, не выявлены. 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Calibri"/>
          <w:sz w:val="26"/>
          <w:szCs w:val="26"/>
          <w:lang w:eastAsia="ru-RU"/>
        </w:rPr>
      </w:pP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В соответствии с законодательством Республики Алтай в отношении проекта постановления проведение оценки регулирующего воздействия на предмет наличия положений, вводящих избыточные обязанности, запреты и ограничения для субъектов предпринимательс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республиканского бюджета Республики Алтай, не требуется.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Calibri"/>
          <w:sz w:val="26"/>
          <w:szCs w:val="26"/>
          <w:lang w:eastAsia="ru-RU"/>
        </w:rPr>
      </w:pPr>
      <w:r>
        <w:rPr>
          <w:rFonts w:ascii="PT Astra Serif" w:hAnsi="PT Astra Serif" w:eastAsia="Times New Roman" w:cs="Calibri"/>
          <w:sz w:val="26"/>
          <w:szCs w:val="26"/>
          <w:lang w:eastAsia="ru-RU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  <w:r>
        <w:rPr>
          <w:rFonts w:ascii="PT Astra Serif" w:hAnsi="PT Astra Serif" w:eastAsia="Times New Roman" w:cs="Calibri"/>
          <w:sz w:val="26"/>
          <w:szCs w:val="26"/>
          <w:lang w:eastAsia="ru-RU"/>
        </w:rPr>
      </w:r>
    </w:p>
    <w:p>
      <w:pPr>
        <w:ind w:firstLine="709"/>
        <w:shd w:val="clear" w:color="auto" w:fill="ffffff"/>
        <w:widowControl w:val="off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sz w:val="26"/>
          <w:szCs w:val="26"/>
          <w:lang w:eastAsia="ru-RU"/>
        </w:rPr>
        <w:t xml:space="preserve">Принятие проекта постановления не потребует осуществления дополнительных </w:t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  <w:t xml:space="preserve">расходов республиканского бюджета Республики Алтай. </w:t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</w:p>
    <w:p>
      <w:pPr>
        <w:ind w:firstLine="709"/>
        <w:widowControl w:val="off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</w:p>
    <w:p>
      <w:pPr>
        <w:pStyle w:val="732"/>
        <w:jc w:val="both"/>
        <w:spacing w:after="0" w:line="240" w:lineRule="auto"/>
        <w:tabs>
          <w:tab w:val="left" w:pos="5130" w:leader="none"/>
        </w:tabs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Министр экономического 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732"/>
        <w:jc w:val="both"/>
        <w:spacing w:after="0" w:line="240" w:lineRule="auto"/>
        <w:tabs>
          <w:tab w:val="left" w:pos="5130" w:leader="none"/>
        </w:tabs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развития Республики Алтай  </w:t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  <w:t xml:space="preserve">           С.С. Боровиков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widowControl w:val="off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  <w:r>
        <w:rPr>
          <w:rFonts w:ascii="PT Astra Serif" w:hAnsi="PT Astra Serif" w:eastAsia="Times New Roman" w:cs="Times New Roman"/>
          <w:sz w:val="26"/>
          <w:szCs w:val="26"/>
          <w:lang w:eastAsia="ru-RU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ПЕРЕЧЕНЬ</w:t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</w:t>
      </w:r>
      <w:r>
        <w:rPr>
          <w:rFonts w:ascii="PT Astra Serif" w:hAnsi="PT Astra Serif" w:cs="PT Astra Serif"/>
          <w:b/>
          <w:bCs/>
          <w:sz w:val="26"/>
          <w:szCs w:val="26"/>
        </w:rPr>
        <w:t xml:space="preserve">постановления Правительства Республики Алтай «Об установлении особенностей использования субсидий Микрокредитной компанией, некоммерческой организацией «Фонд поддержки малого и среднего предпринимательства Республики Алтай»</w:t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rPr>
          <w:rFonts w:ascii="PT Astra Serif" w:hAnsi="PT Astra Serif"/>
          <w:iCs/>
          <w:sz w:val="26"/>
          <w:szCs w:val="26"/>
          <w:lang w:eastAsia="ru-RU"/>
        </w:rPr>
      </w:pPr>
      <w:r>
        <w:rPr>
          <w:rFonts w:ascii="PT Astra Serif" w:hAnsi="PT Astra Serif" w:cs="PT Astra Serif"/>
          <w:sz w:val="26"/>
          <w:szCs w:val="26"/>
        </w:rPr>
        <w:t xml:space="preserve">Принятие проекта постановления Правительства Республики Алтай </w:t>
      </w:r>
      <w:bookmarkStart w:id="4" w:name="_Hlk234480047"/>
      <w:r>
        <w:rPr>
          <w:rFonts w:ascii="PT Astra Serif" w:hAnsi="PT Astra Serif" w:cs="PT Astra Serif"/>
          <w:sz w:val="26"/>
          <w:szCs w:val="26"/>
        </w:rPr>
        <w:t xml:space="preserve">«Об установлении особенностей использования субсидий Микрокредитной компанией, некоммерческой организацией «Фонд поддержки малого и среднего предпринимательства Республики Алтай»</w:t>
      </w:r>
      <w:r>
        <w:rPr>
          <w:rFonts w:ascii="PT Astra Serif" w:hAnsi="PT Astra Serif"/>
          <w:iCs/>
          <w:sz w:val="26"/>
          <w:szCs w:val="26"/>
          <w:lang w:eastAsia="ru-RU"/>
        </w:rPr>
        <w:t xml:space="preserve"> </w:t>
      </w:r>
      <w:r>
        <w:rPr>
          <w:rFonts w:ascii="PT Astra Serif" w:hAnsi="PT Astra Serif"/>
          <w:iCs/>
          <w:sz w:val="26"/>
          <w:szCs w:val="26"/>
          <w:lang w:eastAsia="ru-RU"/>
        </w:rPr>
        <w:t xml:space="preserve">не потребует принятия, признания утратившими силу, приостановления или изменения нормативных правовых актов Республики Алтай.</w:t>
      </w:r>
      <w:bookmarkEnd w:id="4"/>
      <w:r>
        <w:rPr>
          <w:rFonts w:ascii="PT Astra Serif" w:hAnsi="PT Astra Serif"/>
          <w:iCs/>
          <w:sz w:val="26"/>
          <w:szCs w:val="26"/>
          <w:lang w:eastAsia="ru-RU"/>
        </w:rPr>
      </w:r>
    </w:p>
    <w:p>
      <w:pPr>
        <w:ind w:firstLine="540"/>
        <w:spacing w:before="100" w:beforeAutospacing="1" w:after="100" w:afterAutospacing="1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c*l*b*i">
    <w:panose1 w:val="020B080903040302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rPr>
        <w:rFonts w:ascii="PT Astra Serif" w:hAnsi="PT Astra Serif"/>
      </w:rPr>
    </w:pPr>
    <w:r>
      <w:rPr>
        <w:rFonts w:ascii="PT Astra Serif" w:hAnsi="PT Astra Serif"/>
      </w:rPr>
    </w:r>
    <w:r>
      <w:rPr>
        <w:rFonts w:ascii="PT Astra Serif" w:hAnsi="PT Astra Serif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rPr>
        <w:rFonts w:ascii="PT Astra Serif" w:hAnsi="PT Astra Serif"/>
      </w:rPr>
    </w:pPr>
    <w:r>
      <w:rPr>
        <w:rFonts w:ascii="PT Astra Serif" w:hAnsi="PT Astra Serif"/>
      </w:rPr>
    </w:r>
    <w:r>
      <w:rPr>
        <w:rFonts w:ascii="PT Astra Serif" w:hAnsi="PT Astra Serif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 w:ascii="PT Astra Serif" w:hAnsi="PT Astra Serif" w:cs="Times New Roman"/>
        <w:sz w:val="26"/>
      </w:rPr>
    </w:lvl>
    <w:lvl w:ilvl="1">
      <w:start w:val="1"/>
      <w:numFmt w:val="decimal"/>
      <w:isLgl/>
      <w:suff w:val="tab"/>
      <w:lvlText w:val="%1.%2."/>
      <w:lvlJc w:val="left"/>
      <w:pPr>
        <w:ind w:left="928" w:hanging="360"/>
      </w:pPr>
      <w:rPr>
        <w:rFonts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598" w:hanging="720"/>
      </w:pPr>
      <w:rPr>
        <w:rFonts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67" w:hanging="720"/>
      </w:pPr>
      <w:rPr>
        <w:rFonts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2296" w:hanging="1080"/>
      </w:pPr>
      <w:rPr>
        <w:rFonts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465" w:hanging="1080"/>
      </w:pPr>
      <w:rPr>
        <w:rFonts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994" w:hanging="1440"/>
      </w:pPr>
      <w:rPr>
        <w:rFonts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163" w:hanging="1440"/>
      </w:pPr>
      <w:rPr>
        <w:rFonts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692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0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17"/>
    <w:next w:val="71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18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17"/>
    <w:next w:val="71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18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17"/>
    <w:next w:val="71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18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17"/>
    <w:next w:val="71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18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17"/>
    <w:next w:val="71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18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17"/>
    <w:next w:val="71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1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17"/>
    <w:next w:val="71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1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17"/>
    <w:next w:val="71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1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17"/>
    <w:next w:val="71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1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1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17"/>
    <w:next w:val="71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18"/>
    <w:link w:val="35"/>
    <w:uiPriority w:val="10"/>
    <w:rPr>
      <w:sz w:val="48"/>
      <w:szCs w:val="48"/>
    </w:rPr>
  </w:style>
  <w:style w:type="paragraph" w:styleId="37">
    <w:name w:val="Subtitle"/>
    <w:basedOn w:val="717"/>
    <w:next w:val="71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18"/>
    <w:link w:val="37"/>
    <w:uiPriority w:val="11"/>
    <w:rPr>
      <w:sz w:val="24"/>
      <w:szCs w:val="24"/>
    </w:rPr>
  </w:style>
  <w:style w:type="paragraph" w:styleId="39">
    <w:name w:val="Quote"/>
    <w:basedOn w:val="717"/>
    <w:next w:val="71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17"/>
    <w:next w:val="71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18"/>
    <w:link w:val="727"/>
    <w:uiPriority w:val="99"/>
  </w:style>
  <w:style w:type="character" w:styleId="46">
    <w:name w:val="Footer Char"/>
    <w:basedOn w:val="718"/>
    <w:link w:val="729"/>
    <w:uiPriority w:val="99"/>
  </w:style>
  <w:style w:type="paragraph" w:styleId="47">
    <w:name w:val="Caption"/>
    <w:basedOn w:val="717"/>
    <w:next w:val="71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1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1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18"/>
    <w:uiPriority w:val="99"/>
    <w:unhideWhenUsed/>
    <w:rPr>
      <w:vertAlign w:val="superscript"/>
    </w:rPr>
  </w:style>
  <w:style w:type="paragraph" w:styleId="179">
    <w:name w:val="endnote text"/>
    <w:basedOn w:val="71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18"/>
    <w:uiPriority w:val="99"/>
    <w:semiHidden/>
    <w:unhideWhenUsed/>
    <w:rPr>
      <w:vertAlign w:val="superscript"/>
    </w:rPr>
  </w:style>
  <w:style w:type="paragraph" w:styleId="182">
    <w:name w:val="toc 1"/>
    <w:basedOn w:val="717"/>
    <w:next w:val="71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17"/>
    <w:next w:val="71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17"/>
    <w:next w:val="71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17"/>
    <w:next w:val="71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17"/>
    <w:next w:val="71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17"/>
    <w:next w:val="71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17"/>
    <w:next w:val="71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17"/>
    <w:next w:val="71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17"/>
    <w:next w:val="71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17"/>
    <w:next w:val="717"/>
    <w:uiPriority w:val="99"/>
    <w:unhideWhenUsed/>
    <w:pPr>
      <w:spacing w:after="0" w:afterAutospacing="0"/>
    </w:pPr>
  </w:style>
  <w:style w:type="paragraph" w:styleId="717" w:default="1">
    <w:name w:val="Normal"/>
    <w:qFormat/>
  </w:style>
  <w:style w:type="character" w:styleId="718" w:default="1">
    <w:name w:val="Default Paragraph Font"/>
    <w:uiPriority w:val="1"/>
    <w:semiHidden/>
    <w:unhideWhenUsed/>
  </w:style>
  <w:style w:type="table" w:styleId="7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0" w:default="1">
    <w:name w:val="No List"/>
    <w:uiPriority w:val="99"/>
    <w:semiHidden/>
    <w:unhideWhenUsed/>
  </w:style>
  <w:style w:type="table" w:styleId="721">
    <w:name w:val="Table Grid"/>
    <w:basedOn w:val="7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22">
    <w:name w:val="Hyperlink"/>
    <w:basedOn w:val="718"/>
    <w:uiPriority w:val="99"/>
    <w:unhideWhenUsed/>
    <w:rPr>
      <w:color w:val="0000ff" w:themeColor="hyperlink"/>
      <w:u w:val="single"/>
    </w:rPr>
  </w:style>
  <w:style w:type="table" w:styleId="723" w:customStyle="1">
    <w:name w:val="Сетка таблицы1"/>
    <w:basedOn w:val="719"/>
    <w:next w:val="721"/>
    <w:uiPriority w:val="59"/>
    <w:pPr>
      <w:jc w:val="left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4" w:customStyle="1">
    <w:name w:val="Default"/>
    <w:pPr>
      <w:jc w:val="left"/>
    </w:pPr>
    <w:rPr>
      <w:rFonts w:ascii="Times New Roman" w:hAnsi="Times New Roman" w:eastAsia="Calibri" w:cs="Times New Roman"/>
      <w:color w:val="000000"/>
      <w:sz w:val="24"/>
      <w:szCs w:val="24"/>
    </w:rPr>
  </w:style>
  <w:style w:type="paragraph" w:styleId="725">
    <w:name w:val="Balloon Text"/>
    <w:basedOn w:val="717"/>
    <w:link w:val="726"/>
    <w:uiPriority w:val="99"/>
    <w:semiHidden/>
    <w:unhideWhenUsed/>
    <w:rPr>
      <w:rFonts w:ascii="Tahoma" w:hAnsi="Tahoma" w:cs="Tahoma"/>
      <w:sz w:val="16"/>
      <w:szCs w:val="16"/>
    </w:rPr>
  </w:style>
  <w:style w:type="character" w:styleId="726" w:customStyle="1">
    <w:name w:val="Текст выноски Знак"/>
    <w:basedOn w:val="718"/>
    <w:link w:val="725"/>
    <w:uiPriority w:val="99"/>
    <w:semiHidden/>
    <w:rPr>
      <w:rFonts w:ascii="Tahoma" w:hAnsi="Tahoma" w:cs="Tahoma"/>
      <w:sz w:val="16"/>
      <w:szCs w:val="16"/>
    </w:rPr>
  </w:style>
  <w:style w:type="paragraph" w:styleId="727">
    <w:name w:val="Header"/>
    <w:basedOn w:val="717"/>
    <w:link w:val="728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728" w:customStyle="1">
    <w:name w:val="Верхний колонтитул Знак"/>
    <w:basedOn w:val="718"/>
    <w:link w:val="727"/>
    <w:uiPriority w:val="99"/>
    <w:semiHidden/>
  </w:style>
  <w:style w:type="paragraph" w:styleId="729">
    <w:name w:val="Footer"/>
    <w:basedOn w:val="717"/>
    <w:link w:val="730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730" w:customStyle="1">
    <w:name w:val="Нижний колонтитул Знак"/>
    <w:basedOn w:val="718"/>
    <w:link w:val="729"/>
    <w:uiPriority w:val="99"/>
    <w:semiHidden/>
  </w:style>
  <w:style w:type="paragraph" w:styleId="731">
    <w:name w:val="Normal (Web)"/>
    <w:basedOn w:val="717"/>
    <w:uiPriority w:val="99"/>
    <w:unhideWhenUsed/>
    <w:qFormat/>
    <w:pPr>
      <w:jc w:val="left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32" w:customStyle="1">
    <w:name w:val="N*r*a*"/>
    <w:uiPriority w:val="99"/>
    <w:qFormat/>
    <w:pPr>
      <w:jc w:val="left"/>
      <w:spacing w:after="200" w:line="276" w:lineRule="auto"/>
      <w:widowControl w:val="off"/>
    </w:pPr>
    <w:rPr>
      <w:rFonts w:ascii="c*l*b*i" w:hAnsi="c*l*b*i" w:eastAsia="Times New Roman" w:cs="c*l*b*i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787E4-A12C-4C64-8080-A4675D56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Маташев Владимир Алексеевич</cp:lastModifiedBy>
  <cp:revision>4</cp:revision>
  <dcterms:created xsi:type="dcterms:W3CDTF">2026-11-02T09:33:00Z</dcterms:created>
  <dcterms:modified xsi:type="dcterms:W3CDTF">2026-11-02T09:58:20Z</dcterms:modified>
</cp:coreProperties>
</file>