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19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Проект</w:t>
      </w:r>
      <w:r>
        <w:rPr>
          <w:rFonts w:ascii="PT Astra Serif" w:hAnsi="PT Astra Serif"/>
          <w:sz w:val="26"/>
          <w:szCs w:val="26"/>
        </w:rPr>
      </w:r>
    </w:p>
    <w:p>
      <w:pPr>
        <w:jc w:val="center"/>
        <w:spacing w:after="0" w:line="19" w:lineRule="atLeas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</w:r>
      <w:r>
        <w:rPr>
          <w:rFonts w:ascii="PT Astra Serif" w:hAnsi="PT Astra Serif"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  <w:t xml:space="preserve">ПРАВИТЕЛЬСТВО РЕСПУБЛИКИ АЛТАЙ</w:t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  <w:t xml:space="preserve">ПОСТАНОВЛЕНИЕ</w:t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«___» ________ 202</w:t>
      </w:r>
      <w:r>
        <w:rPr>
          <w:rFonts w:ascii="PT Astra Serif" w:hAnsi="PT Astra Serif" w:cs="Times New Roman"/>
          <w:sz w:val="25"/>
          <w:szCs w:val="25"/>
        </w:rPr>
        <w:t xml:space="preserve">6</w:t>
      </w:r>
      <w:r>
        <w:rPr>
          <w:rFonts w:ascii="PT Astra Serif" w:hAnsi="PT Astra Serif" w:cs="Times New Roman"/>
          <w:sz w:val="25"/>
          <w:szCs w:val="25"/>
        </w:rPr>
        <w:t xml:space="preserve"> г</w:t>
      </w:r>
      <w:r>
        <w:rPr>
          <w:rFonts w:ascii="PT Astra Serif" w:hAnsi="PT Astra Serif"/>
          <w:sz w:val="25"/>
          <w:szCs w:val="25"/>
        </w:rPr>
        <w:t xml:space="preserve">.</w:t>
      </w:r>
      <w:r>
        <w:rPr>
          <w:rFonts w:ascii="PT Astra Serif" w:hAnsi="PT Astra Serif" w:cs="Times New Roman"/>
          <w:sz w:val="25"/>
          <w:szCs w:val="25"/>
        </w:rPr>
        <w:t xml:space="preserve"> №____</w:t>
      </w:r>
      <w:r>
        <w:rPr>
          <w:rFonts w:ascii="PT Astra Serif" w:hAnsi="PT Astra Serif" w:cs="Times New Roman"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</w:r>
      <w:r>
        <w:rPr>
          <w:rFonts w:ascii="PT Astra Serif" w:hAnsi="PT Astra Serif" w:cs="Times New Roman"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г. Горно-Алтайск</w:t>
      </w:r>
      <w:r>
        <w:rPr>
          <w:rFonts w:ascii="PT Astra Serif" w:hAnsi="PT Astra Serif"/>
          <w:sz w:val="25"/>
          <w:szCs w:val="25"/>
        </w:rPr>
      </w:r>
    </w:p>
    <w:p>
      <w:pPr>
        <w:spacing w:after="0" w:line="19" w:lineRule="atLeas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</w:r>
      <w:r>
        <w:rPr>
          <w:rFonts w:ascii="PT Astra Serif" w:hAnsi="PT Astra Serif"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  <w:t xml:space="preserve">О внесении изменени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й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 в 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пункт 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8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 раздела </w:t>
      </w:r>
      <w:r>
        <w:rPr>
          <w:rFonts w:ascii="PT Astra Serif" w:hAnsi="PT Astra Serif" w:cs="Times New Roman"/>
          <w:b/>
          <w:bCs/>
          <w:sz w:val="25"/>
          <w:szCs w:val="25"/>
          <w:lang w:val="en-US"/>
        </w:rPr>
        <w:t xml:space="preserve">III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 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Положени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я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 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о Министерстве </w:t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b/>
          <w:bCs/>
          <w:sz w:val="25"/>
          <w:szCs w:val="25"/>
        </w:rPr>
      </w:pPr>
      <w:r>
        <w:rPr>
          <w:rFonts w:ascii="PT Astra Serif" w:hAnsi="PT Astra Serif" w:cs="Times New Roman"/>
          <w:b/>
          <w:bCs/>
          <w:sz w:val="25"/>
          <w:szCs w:val="25"/>
        </w:rPr>
        <w:t xml:space="preserve">экономического развития Республики Алтай, утвержденно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го</w:t>
      </w:r>
      <w:r>
        <w:rPr>
          <w:rFonts w:ascii="PT Astra Serif" w:hAnsi="PT Astra Serif" w:cs="Times New Roman"/>
          <w:b/>
          <w:bCs/>
          <w:sz w:val="25"/>
          <w:szCs w:val="25"/>
        </w:rPr>
        <w:t xml:space="preserve"> постановлением Правительства Республики Алтай от 20 ноября 2014 г. № 332</w:t>
      </w:r>
      <w:r>
        <w:rPr>
          <w:rFonts w:ascii="PT Astra Serif" w:hAnsi="PT Astra Serif" w:cs="Times New Roman"/>
          <w:b/>
          <w:bCs/>
          <w:sz w:val="25"/>
          <w:szCs w:val="25"/>
        </w:rPr>
      </w:r>
    </w:p>
    <w:p>
      <w:pPr>
        <w:jc w:val="center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</w:r>
      <w:r>
        <w:rPr>
          <w:rFonts w:ascii="PT Astra Serif" w:hAnsi="PT Astra Serif" w:cs="Times New Roman"/>
          <w:sz w:val="25"/>
          <w:szCs w:val="25"/>
        </w:rPr>
      </w:r>
    </w:p>
    <w:p>
      <w:pPr>
        <w:ind w:firstLine="709"/>
        <w:jc w:val="both"/>
        <w:spacing w:after="0" w:line="19" w:lineRule="atLeast"/>
        <w:rPr>
          <w:rFonts w:ascii="PT Astra Serif" w:hAnsi="PT Astra Serif" w:cs="PT Astra Serif"/>
          <w:b/>
          <w:bCs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 xml:space="preserve">Правительство Республики Алтай </w:t>
      </w:r>
      <w:r>
        <w:rPr>
          <w:rFonts w:ascii="PT Astra Serif" w:hAnsi="PT Astra Serif" w:cs="PT Astra Serif"/>
          <w:b/>
          <w:bCs/>
          <w:sz w:val="25"/>
          <w:szCs w:val="25"/>
        </w:rPr>
        <w:t xml:space="preserve">п о с </w:t>
      </w:r>
      <w:r>
        <w:rPr>
          <w:rFonts w:ascii="PT Astra Serif" w:hAnsi="PT Astra Serif" w:cs="PT Astra Serif"/>
          <w:b/>
          <w:bCs/>
          <w:sz w:val="25"/>
          <w:szCs w:val="25"/>
        </w:rPr>
        <w:t xml:space="preserve">т</w:t>
      </w:r>
      <w:r>
        <w:rPr>
          <w:rFonts w:ascii="PT Astra Serif" w:hAnsi="PT Astra Serif" w:cs="PT Astra Serif"/>
          <w:b/>
          <w:bCs/>
          <w:sz w:val="25"/>
          <w:szCs w:val="25"/>
        </w:rPr>
        <w:t xml:space="preserve"> а н о в л я е т:</w:t>
      </w:r>
      <w:r>
        <w:rPr>
          <w:rFonts w:ascii="PT Astra Serif" w:hAnsi="PT Astra Serif" w:cs="PT Astra Serif"/>
          <w:b/>
          <w:bCs/>
          <w:sz w:val="25"/>
          <w:szCs w:val="25"/>
        </w:rPr>
      </w:r>
    </w:p>
    <w:p>
      <w:pPr>
        <w:ind w:firstLine="709"/>
        <w:jc w:val="both"/>
        <w:spacing w:after="0" w:line="19" w:lineRule="atLeast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Внести в </w:t>
      </w:r>
      <w:r>
        <w:rPr>
          <w:rFonts w:ascii="PT Astra Serif" w:hAnsi="PT Astra Serif" w:cs="Times New Roman"/>
          <w:sz w:val="25"/>
          <w:szCs w:val="25"/>
        </w:rPr>
        <w:t xml:space="preserve">пункт </w:t>
      </w:r>
      <w:r>
        <w:rPr>
          <w:rFonts w:ascii="PT Astra Serif" w:hAnsi="PT Astra Serif" w:cs="Times New Roman"/>
          <w:sz w:val="25"/>
          <w:szCs w:val="25"/>
        </w:rPr>
        <w:t xml:space="preserve">8</w:t>
      </w:r>
      <w:r>
        <w:rPr>
          <w:rFonts w:ascii="PT Astra Serif" w:hAnsi="PT Astra Serif" w:cs="Times New Roman"/>
          <w:sz w:val="25"/>
          <w:szCs w:val="25"/>
        </w:rPr>
        <w:t xml:space="preserve"> раздела </w:t>
      </w:r>
      <w:r>
        <w:rPr>
          <w:rFonts w:ascii="PT Astra Serif" w:hAnsi="PT Astra Serif" w:cs="Times New Roman"/>
          <w:sz w:val="25"/>
          <w:szCs w:val="25"/>
          <w:lang w:val="en-US"/>
        </w:rPr>
        <w:t xml:space="preserve">III</w:t>
      </w:r>
      <w:r>
        <w:rPr>
          <w:rFonts w:ascii="PT Astra Serif" w:hAnsi="PT Astra Serif" w:cs="Times New Roman"/>
          <w:sz w:val="25"/>
          <w:szCs w:val="25"/>
        </w:rPr>
        <w:t xml:space="preserve"> </w:t>
      </w:r>
      <w:r>
        <w:rPr>
          <w:rFonts w:ascii="PT Astra Serif" w:hAnsi="PT Astra Serif" w:cs="Times New Roman"/>
          <w:sz w:val="25"/>
          <w:szCs w:val="25"/>
        </w:rPr>
        <w:t xml:space="preserve">П</w:t>
      </w:r>
      <w:r>
        <w:rPr>
          <w:rFonts w:ascii="PT Astra Serif" w:hAnsi="PT Astra Serif" w:cs="Times New Roman"/>
          <w:sz w:val="25"/>
          <w:szCs w:val="25"/>
        </w:rPr>
        <w:t xml:space="preserve">оложения</w:t>
      </w:r>
      <w:r>
        <w:rPr>
          <w:rFonts w:ascii="PT Astra Serif" w:hAnsi="PT Astra Serif" w:cs="Times New Roman"/>
          <w:sz w:val="25"/>
          <w:szCs w:val="25"/>
        </w:rPr>
        <w:t xml:space="preserve"> о Министерстве экономического развития Республики Алтай, </w:t>
      </w:r>
      <w:r>
        <w:rPr>
          <w:rFonts w:ascii="PT Astra Serif" w:hAnsi="PT Astra Serif" w:cs="PT Astra Serif"/>
          <w:sz w:val="25"/>
          <w:szCs w:val="25"/>
        </w:rPr>
        <w:t xml:space="preserve">утвержденно</w:t>
      </w:r>
      <w:r>
        <w:rPr>
          <w:rFonts w:ascii="PT Astra Serif" w:hAnsi="PT Astra Serif" w:cs="PT Astra Serif"/>
          <w:sz w:val="25"/>
          <w:szCs w:val="25"/>
        </w:rPr>
        <w:t xml:space="preserve">го</w:t>
      </w:r>
      <w:r>
        <w:rPr>
          <w:rFonts w:ascii="PT Astra Serif" w:hAnsi="PT Astra Serif" w:cs="PT Astra Serif"/>
          <w:sz w:val="25"/>
          <w:szCs w:val="25"/>
        </w:rPr>
        <w:t xml:space="preserve"> постановлением Правительства Республики Алтай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от 20 ноября 2014 г. № 332</w:t>
      </w:r>
      <w:r>
        <w:rPr>
          <w:rFonts w:ascii="PT Astra Serif" w:hAnsi="PT Astra Serif" w:cs="PT Astra Serif"/>
          <w:sz w:val="25"/>
          <w:szCs w:val="25"/>
        </w:rPr>
        <w:t xml:space="preserve"> (Сборник законодательства Республики Алтай, 2014, </w:t>
      </w:r>
      <w:r>
        <w:rPr>
          <w:rFonts w:ascii="PT Astra Serif" w:hAnsi="PT Astra Serif" w:cs="PT Astra Serif"/>
          <w:sz w:val="25"/>
          <w:szCs w:val="25"/>
        </w:rPr>
        <w:t xml:space="preserve">№ 118(124); </w:t>
      </w:r>
      <w:r>
        <w:rPr>
          <w:rFonts w:ascii="PT Astra Serif" w:hAnsi="PT Astra Serif" w:cs="PT Astra Serif"/>
          <w:sz w:val="25"/>
          <w:szCs w:val="25"/>
        </w:rPr>
        <w:t xml:space="preserve">2015, № 121(127), № 122(128), № 12</w:t>
      </w:r>
      <w:r>
        <w:rPr>
          <w:rFonts w:ascii="PT Astra Serif" w:hAnsi="PT Astra Serif" w:cs="PT Astra Serif"/>
          <w:sz w:val="25"/>
          <w:szCs w:val="25"/>
        </w:rPr>
        <w:t xml:space="preserve">5(131), № 127(133),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128(134),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129(135); 2016,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133(139), № 134(140), № 13</w:t>
      </w:r>
      <w:r>
        <w:rPr>
          <w:rFonts w:ascii="PT Astra Serif" w:hAnsi="PT Astra Serif" w:cs="PT Astra Serif"/>
          <w:sz w:val="25"/>
          <w:szCs w:val="25"/>
        </w:rPr>
        <w:t xml:space="preserve">5(141), № 136(142),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138(144),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139(145); 2017, 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141(147), № 144(150), № 145(151), № 146(152),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147(153),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150(156); 2018,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153(159), № 157(163)</w:t>
      </w:r>
      <w:r>
        <w:rPr>
          <w:rFonts w:ascii="PT Astra Serif" w:hAnsi="PT Astra Serif" w:cs="PT Astra Serif"/>
          <w:sz w:val="25"/>
          <w:szCs w:val="25"/>
        </w:rPr>
        <w:t xml:space="preserve">, № 161(167); 2019, № 162(168),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163(169),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166(172),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171(177); 2020, № 173(179), № 176(182), № 181(187),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183(189); 2021,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186(192),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189(195), № 191(197), № 194(200); 2022, № 195(201),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200(206),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204(210); 2023,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206(212), № 211(217), № 213(219); 2024, № 215(221),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217(223),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221(227),</w:t>
      </w:r>
      <w:r>
        <w:rPr>
          <w:rFonts w:ascii="PT Astra Serif" w:hAnsi="PT Astra Serif" w:cs="PT Astra Serif"/>
          <w:sz w:val="25"/>
          <w:szCs w:val="25"/>
        </w:rPr>
        <w:br/>
      </w:r>
      <w:r>
        <w:rPr>
          <w:rFonts w:ascii="PT Astra Serif" w:hAnsi="PT Astra Serif" w:cs="PT Astra Serif"/>
          <w:sz w:val="25"/>
          <w:szCs w:val="25"/>
        </w:rPr>
        <w:t xml:space="preserve">№ 223(229), № 224(230), № 225(231); 2025, № 228(234),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 229(235)</w:t>
      </w:r>
      <w:r>
        <w:rPr>
          <w:rFonts w:ascii="PT Astra Serif" w:hAnsi="PT Astra Serif" w:cs="PT Astra Serif"/>
          <w:sz w:val="25"/>
          <w:szCs w:val="25"/>
        </w:rPr>
        <w:t xml:space="preserve">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№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23</w:t>
      </w:r>
      <w:r>
        <w:rPr>
          <w:rFonts w:ascii="PT Astra Serif" w:hAnsi="PT Astra Serif" w:cs="PT Astra Serif"/>
          <w:sz w:val="25"/>
          <w:szCs w:val="25"/>
        </w:rPr>
        <w:t xml:space="preserve">3</w:t>
      </w:r>
      <w:r>
        <w:rPr>
          <w:rFonts w:ascii="PT Astra Serif" w:hAnsi="PT Astra Serif" w:cs="PT Astra Serif"/>
          <w:sz w:val="25"/>
          <w:szCs w:val="25"/>
        </w:rPr>
        <w:t xml:space="preserve">(</w:t>
      </w:r>
      <w:r>
        <w:rPr>
          <w:rFonts w:ascii="PT Astra Serif" w:hAnsi="PT Astra Serif" w:cs="PT Astra Serif"/>
          <w:sz w:val="25"/>
          <w:szCs w:val="25"/>
        </w:rPr>
        <w:t xml:space="preserve">239</w:t>
      </w:r>
      <w:r>
        <w:rPr>
          <w:rFonts w:ascii="PT Astra Serif" w:hAnsi="PT Astra Serif" w:cs="PT Astra Serif"/>
          <w:sz w:val="25"/>
          <w:szCs w:val="25"/>
        </w:rPr>
        <w:t xml:space="preserve">)</w:t>
      </w:r>
      <w:r>
        <w:rPr>
          <w:rFonts w:ascii="PT Astra Serif" w:hAnsi="PT Astra Serif" w:cs="PT Astra Serif"/>
          <w:sz w:val="25"/>
          <w:szCs w:val="25"/>
        </w:rPr>
        <w:t xml:space="preserve">, 273(243); 2026, №238(244)</w:t>
      </w:r>
      <w:r>
        <w:rPr>
          <w:rFonts w:ascii="PT Astra Serif" w:hAnsi="PT Astra Serif" w:cs="PT Astra Serif"/>
          <w:sz w:val="25"/>
          <w:szCs w:val="25"/>
        </w:rPr>
        <w:t xml:space="preserve">;</w:t>
      </w:r>
      <w:r>
        <w:rPr>
          <w:rFonts w:ascii="PT Astra Serif" w:hAnsi="PT Astra Serif" w:cs="PT Astra Serif"/>
          <w:sz w:val="25"/>
          <w:szCs w:val="25"/>
        </w:rPr>
        <w:t xml:space="preserve"> официальный портал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Республики Алтай в сети «Интернет»: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www.</w:t>
      </w:r>
      <w:r>
        <w:rPr>
          <w:rFonts w:ascii="PT Astra Serif" w:hAnsi="PT Astra Serif" w:cs="PT Astra Serif"/>
          <w:sz w:val="25"/>
          <w:szCs w:val="25"/>
        </w:rPr>
        <w:t xml:space="preserve">pravo.gov.ru</w:t>
      </w:r>
      <w:r>
        <w:rPr>
          <w:rFonts w:ascii="PT Astra Serif" w:hAnsi="PT Astra Serif" w:cs="PT Astra Serif"/>
          <w:sz w:val="25"/>
          <w:szCs w:val="25"/>
        </w:rPr>
        <w:t xml:space="preserve">, </w:t>
      </w:r>
      <w:r>
        <w:rPr>
          <w:rFonts w:ascii="PT Astra Serif" w:hAnsi="PT Astra Serif" w:cs="PT Astra Serif"/>
          <w:sz w:val="25"/>
          <w:szCs w:val="25"/>
        </w:rPr>
        <w:t xml:space="preserve">2026,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8 июня</w:t>
      </w:r>
      <w:r>
        <w:rPr>
          <w:rFonts w:ascii="PT Astra Serif" w:hAnsi="PT Astra Serif" w:cs="PT Astra Serif"/>
          <w:sz w:val="25"/>
          <w:szCs w:val="25"/>
        </w:rPr>
        <w:t xml:space="preserve">)</w:t>
      </w:r>
      <w:r>
        <w:rPr>
          <w:rFonts w:ascii="PT Astra Serif" w:hAnsi="PT Astra Serif" w:cs="PT Astra Serif"/>
          <w:sz w:val="25"/>
          <w:szCs w:val="25"/>
        </w:rPr>
        <w:t xml:space="preserve">, </w:t>
      </w:r>
      <w:r>
        <w:rPr>
          <w:rFonts w:ascii="PT Astra Serif" w:hAnsi="PT Astra Serif" w:cs="PT Astra Serif"/>
          <w:sz w:val="25"/>
          <w:szCs w:val="25"/>
        </w:rPr>
        <w:t xml:space="preserve">следующие изменения</w:t>
      </w:r>
      <w:r>
        <w:rPr>
          <w:rFonts w:ascii="PT Astra Serif" w:hAnsi="PT Astra Serif" w:cs="PT Astra Serif"/>
          <w:sz w:val="25"/>
          <w:szCs w:val="25"/>
        </w:rPr>
        <w:t xml:space="preserve">:</w:t>
      </w:r>
      <w:r>
        <w:rPr>
          <w:rFonts w:ascii="PT Astra Serif" w:hAnsi="PT Astra Serif" w:cs="PT Astra Serif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cs="PT Astra Serif"/>
          <w:sz w:val="25"/>
          <w:szCs w:val="25"/>
        </w:rPr>
        <w:t xml:space="preserve">а) подпункт </w:t>
      </w:r>
      <w:r>
        <w:rPr>
          <w:rFonts w:ascii="PT Astra Serif" w:hAnsi="PT Astra Serif" w:cs="PT Astra Serif"/>
          <w:sz w:val="25"/>
          <w:szCs w:val="25"/>
        </w:rPr>
        <w:t xml:space="preserve">«</w:t>
      </w:r>
      <w:r>
        <w:rPr>
          <w:rFonts w:ascii="PT Astra Serif" w:hAnsi="PT Astra Serif" w:cs="PT Astra Serif"/>
          <w:sz w:val="25"/>
          <w:szCs w:val="25"/>
        </w:rPr>
        <w:t xml:space="preserve">я</w:t>
      </w:r>
      <w:r>
        <w:rPr>
          <w:rFonts w:ascii="PT Astra Serif" w:hAnsi="PT Astra Serif" w:cs="PT Astra Serif"/>
          <w:sz w:val="25"/>
          <w:szCs w:val="25"/>
        </w:rPr>
        <w:t xml:space="preserve">4</w:t>
      </w:r>
      <w:r>
        <w:rPr>
          <w:rFonts w:ascii="PT Astra Serif" w:hAnsi="PT Astra Serif" w:cs="PT Astra Serif"/>
          <w:sz w:val="25"/>
          <w:szCs w:val="25"/>
        </w:rPr>
        <w:t xml:space="preserve">»</w:t>
      </w:r>
      <w:r>
        <w:rPr>
          <w:rFonts w:ascii="PT Astra Serif" w:hAnsi="PT Astra Serif" w:cs="PT Astra Serif"/>
          <w:sz w:val="25"/>
          <w:szCs w:val="25"/>
        </w:rPr>
        <w:t xml:space="preserve"> </w:t>
      </w:r>
      <w:r>
        <w:rPr>
          <w:rFonts w:ascii="PT Astra Serif" w:hAnsi="PT Astra Serif" w:cs="PT Astra Serif"/>
          <w:sz w:val="25"/>
          <w:szCs w:val="25"/>
        </w:rPr>
        <w:t xml:space="preserve">дополнить словами «, а также предоставляет обобщенные сведения, содержащиеся в указанном торговом реестре, в соответствии с федеральным законодательством»;</w:t>
      </w:r>
      <w:r>
        <w:rPr>
          <w:rFonts w:ascii="PT Astra Serif" w:hAnsi="PT Astra Serif" w:cs="PT Astra Serif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б) дополнить подпунктом </w:t>
      </w:r>
      <w:r>
        <w:rPr>
          <w:rFonts w:ascii="PT Astra Serif" w:hAnsi="PT Astra Serif" w:cs="Times New Roman"/>
          <w:sz w:val="25"/>
          <w:szCs w:val="25"/>
        </w:rPr>
        <w:t xml:space="preserve">«</w:t>
      </w:r>
      <w:r>
        <w:rPr>
          <w:rFonts w:ascii="PT Astra Serif" w:hAnsi="PT Astra Serif" w:cs="Times New Roman"/>
          <w:sz w:val="25"/>
          <w:szCs w:val="25"/>
        </w:rPr>
        <w:t xml:space="preserve">я</w:t>
      </w:r>
      <w:r>
        <w:rPr>
          <w:rFonts w:ascii="PT Astra Serif" w:hAnsi="PT Astra Serif" w:cs="Times New Roman"/>
          <w:sz w:val="25"/>
          <w:szCs w:val="25"/>
        </w:rPr>
        <w:t xml:space="preserve">2.1</w:t>
      </w:r>
      <w:r>
        <w:rPr>
          <w:rFonts w:ascii="PT Astra Serif" w:hAnsi="PT Astra Serif" w:cs="Times New Roman"/>
          <w:sz w:val="25"/>
          <w:szCs w:val="25"/>
        </w:rPr>
        <w:t xml:space="preserve">»</w:t>
      </w:r>
      <w:r>
        <w:rPr>
          <w:rFonts w:ascii="PT Astra Serif" w:hAnsi="PT Astra Serif" w:cs="Times New Roman"/>
          <w:sz w:val="25"/>
          <w:szCs w:val="25"/>
        </w:rPr>
        <w:t xml:space="preserve"> следующего содержания:</w:t>
      </w:r>
      <w:r>
        <w:rPr>
          <w:rFonts w:ascii="PT Astra Serif" w:hAnsi="PT Astra Serif" w:cs="Times New Roman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«я</w:t>
      </w:r>
      <w:r>
        <w:rPr>
          <w:rFonts w:ascii="PT Astra Serif" w:hAnsi="PT Astra Serif" w:cs="Times New Roman"/>
          <w:sz w:val="25"/>
          <w:szCs w:val="25"/>
        </w:rPr>
        <w:t xml:space="preserve">2.1</w:t>
      </w:r>
      <w:r>
        <w:rPr>
          <w:rFonts w:ascii="PT Astra Serif" w:hAnsi="PT Astra Serif" w:cs="Times New Roman"/>
          <w:sz w:val="25"/>
          <w:szCs w:val="25"/>
        </w:rPr>
        <w:t xml:space="preserve">) </w:t>
      </w:r>
      <w:r>
        <w:rPr>
          <w:rFonts w:ascii="PT Astra Serif" w:hAnsi="PT Astra Serif" w:cs="Times New Roman"/>
          <w:sz w:val="25"/>
          <w:szCs w:val="25"/>
        </w:rPr>
        <w:t xml:space="preserve">организует и </w:t>
      </w:r>
      <w:r>
        <w:rPr>
          <w:rFonts w:ascii="PT Astra Serif" w:hAnsi="PT Astra Serif" w:cs="Times New Roman"/>
          <w:sz w:val="25"/>
          <w:szCs w:val="25"/>
        </w:rPr>
        <w:t xml:space="preserve">проводит исследования товарного </w:t>
      </w:r>
      <w:r>
        <w:rPr>
          <w:rFonts w:ascii="PT Astra Serif" w:hAnsi="PT Astra Serif" w:cs="Times New Roman"/>
          <w:sz w:val="25"/>
          <w:szCs w:val="25"/>
        </w:rPr>
        <w:t xml:space="preserve">рынка с использованием информации, содержащейся в государственных информационных системах, а также в иных информационных системах, созданных в соответствии с федеральным законодательством, законодательством Республики Алтай или муниципальным правовым актом</w:t>
      </w:r>
      <w:r>
        <w:rPr>
          <w:rFonts w:ascii="PT Astra Serif" w:hAnsi="PT Astra Serif" w:cs="Times New Roman"/>
          <w:sz w:val="25"/>
          <w:szCs w:val="25"/>
        </w:rPr>
        <w:t xml:space="preserve">;</w:t>
      </w:r>
      <w:r>
        <w:rPr>
          <w:rFonts w:ascii="PT Astra Serif" w:hAnsi="PT Astra Serif" w:cs="Times New Roman"/>
          <w:sz w:val="25"/>
          <w:szCs w:val="25"/>
        </w:rPr>
        <w:t xml:space="preserve">»</w:t>
      </w:r>
      <w:r>
        <w:rPr>
          <w:rFonts w:ascii="PT Astra Serif" w:hAnsi="PT Astra Serif" w:cs="Times New Roman"/>
          <w:sz w:val="25"/>
          <w:szCs w:val="25"/>
        </w:rPr>
        <w:t xml:space="preserve">;</w:t>
      </w:r>
      <w:r>
        <w:rPr>
          <w:rFonts w:ascii="PT Astra Serif" w:hAnsi="PT Astra Serif" w:cs="Times New Roman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в) дополнить подпунктом «я5.1» следующего содержания:</w:t>
      </w:r>
      <w:r>
        <w:rPr>
          <w:rFonts w:ascii="PT Astra Serif" w:hAnsi="PT Astra Serif" w:cs="Times New Roman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«я5.1) устанавливает требования к порядку размещения и использования нестационарных торговых объектов на земельных участках, в зданиях, строениях, сооружениях, находящихся в частной собственности;»;</w:t>
      </w:r>
      <w:r>
        <w:rPr>
          <w:rFonts w:ascii="PT Astra Serif" w:hAnsi="PT Astra Serif" w:cs="Times New Roman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г) подпункт «я21.5» </w:t>
      </w:r>
      <w:r>
        <w:rPr>
          <w:rFonts w:ascii="PT Astra Serif" w:hAnsi="PT Astra Serif" w:cs="Times New Roman"/>
          <w:sz w:val="25"/>
          <w:szCs w:val="25"/>
        </w:rPr>
        <w:t xml:space="preserve">признать утратившим силу</w:t>
      </w:r>
      <w:r>
        <w:rPr>
          <w:rFonts w:ascii="PT Astra Serif" w:hAnsi="PT Astra Serif" w:cs="Times New Roman"/>
          <w:sz w:val="25"/>
          <w:szCs w:val="25"/>
        </w:rPr>
        <w:t xml:space="preserve">;</w:t>
      </w:r>
      <w:r>
        <w:rPr>
          <w:rFonts w:ascii="PT Astra Serif" w:hAnsi="PT Astra Serif" w:cs="Times New Roman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д) подпункт «я23» изложить в следующей </w:t>
      </w:r>
      <w:r>
        <w:rPr>
          <w:rFonts w:ascii="PT Astra Serif" w:hAnsi="PT Astra Serif" w:cs="Times New Roman"/>
          <w:sz w:val="25"/>
          <w:szCs w:val="25"/>
        </w:rPr>
        <w:t xml:space="preserve">редакции</w:t>
      </w:r>
      <w:r>
        <w:rPr>
          <w:rFonts w:ascii="PT Astra Serif" w:hAnsi="PT Astra Serif" w:cs="Times New Roman"/>
          <w:sz w:val="25"/>
          <w:szCs w:val="25"/>
        </w:rPr>
        <w:t xml:space="preserve">:</w:t>
      </w:r>
      <w:r>
        <w:rPr>
          <w:rFonts w:ascii="PT Astra Serif" w:hAnsi="PT Astra Serif" w:cs="Times New Roman"/>
          <w:sz w:val="25"/>
          <w:szCs w:val="25"/>
        </w:rPr>
      </w:r>
    </w:p>
    <w:p>
      <w:pPr>
        <w:pStyle w:val="703"/>
        <w:ind w:firstLine="709"/>
        <w:jc w:val="both"/>
        <w:spacing w:after="0" w:line="19" w:lineRule="atLeast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«я23) разрабатывает перечень отдаленных или </w:t>
      </w:r>
      <w:r>
        <w:rPr>
          <w:rFonts w:ascii="PT Astra Serif" w:hAnsi="PT Astra Serif" w:cs="Times New Roman"/>
          <w:sz w:val="25"/>
          <w:szCs w:val="25"/>
        </w:rPr>
        <w:t xml:space="preserve">труднодоступных</w:t>
      </w:r>
      <w:r>
        <w:rPr>
          <w:rFonts w:ascii="PT Astra Serif" w:hAnsi="PT Astra Serif" w:cs="Times New Roman"/>
          <w:sz w:val="25"/>
          <w:szCs w:val="25"/>
        </w:rPr>
        <w:t xml:space="preserve"> местностей </w:t>
      </w:r>
      <w:r>
        <w:rPr>
          <w:rFonts w:ascii="PT Astra Serif" w:hAnsi="PT Astra Serif" w:cs="Times New Roman"/>
          <w:sz w:val="25"/>
          <w:szCs w:val="25"/>
        </w:rPr>
        <w:br/>
      </w:r>
      <w:r>
        <w:rPr>
          <w:rFonts w:ascii="PT Astra Serif" w:hAnsi="PT Astra Serif" w:cs="Times New Roman"/>
          <w:sz w:val="25"/>
          <w:szCs w:val="25"/>
        </w:rPr>
        <w:t xml:space="preserve">(за исключением городского округа, административных центров муниципальных</w:t>
      </w:r>
      <w:r>
        <w:rPr>
          <w:rFonts w:ascii="PT Astra Serif" w:hAnsi="PT Astra Serif" w:cs="Times New Roman"/>
          <w:sz w:val="25"/>
          <w:szCs w:val="25"/>
        </w:rPr>
        <w:t xml:space="preserve"> </w:t>
      </w:r>
      <w:r>
        <w:rPr>
          <w:rFonts w:ascii="PT Astra Serif" w:hAnsi="PT Astra Serif" w:cs="Times New Roman"/>
          <w:sz w:val="25"/>
          <w:szCs w:val="25"/>
        </w:rPr>
        <w:t xml:space="preserve">районов и муниципальных округов в Республике Алтай), на территории которых организации и индивидуальные </w:t>
      </w:r>
      <w:r>
        <w:rPr>
          <w:rFonts w:ascii="PT Astra Serif" w:hAnsi="PT Astra Serif" w:cs="Times New Roman"/>
          <w:sz w:val="25"/>
          <w:szCs w:val="25"/>
        </w:rPr>
        <w:t xml:space="preserve">предприниматели</w:t>
      </w:r>
      <w:r>
        <w:rPr>
          <w:rFonts w:ascii="PT Astra Serif" w:hAnsi="PT Astra Serif" w:cs="Times New Roman"/>
          <w:sz w:val="25"/>
          <w:szCs w:val="25"/>
        </w:rPr>
        <w:t xml:space="preserve"> при осуществлении расчетов вправе не применять контрольно-кассовую технику;»</w:t>
      </w:r>
      <w:r>
        <w:rPr>
          <w:rFonts w:ascii="PT Astra Serif" w:hAnsi="PT Astra Serif" w:cs="Times New Roman"/>
          <w:sz w:val="25"/>
          <w:szCs w:val="25"/>
        </w:rPr>
        <w:t xml:space="preserve">.</w:t>
      </w:r>
      <w:r>
        <w:rPr>
          <w:rFonts w:ascii="PT Astra Serif" w:hAnsi="PT Astra Serif" w:cs="Times New Roman"/>
          <w:sz w:val="25"/>
          <w:szCs w:val="25"/>
        </w:rPr>
      </w:r>
    </w:p>
    <w:p>
      <w:pPr>
        <w:ind w:right="-143"/>
        <w:spacing w:after="0" w:line="240" w:lineRule="auto"/>
        <w:tabs>
          <w:tab w:val="left" w:pos="709" w:leader="none"/>
        </w:tabs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</w:r>
      <w:r>
        <w:rPr>
          <w:rFonts w:ascii="PT Astra Serif" w:hAnsi="PT Astra Serif" w:cs="Times New Roman"/>
          <w:sz w:val="25"/>
          <w:szCs w:val="25"/>
        </w:rPr>
      </w:r>
    </w:p>
    <w:p>
      <w:pPr>
        <w:ind w:right="-143"/>
        <w:spacing w:after="0" w:line="240" w:lineRule="auto"/>
        <w:tabs>
          <w:tab w:val="left" w:pos="709" w:leader="none"/>
        </w:tabs>
        <w:rPr>
          <w:rFonts w:ascii="PT Astra Serif" w:hAnsi="PT Astra Serif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Председатель Правительства</w:t>
      </w:r>
      <w:r>
        <w:rPr>
          <w:rFonts w:ascii="PT Astra Serif" w:hAnsi="PT Astra Serif"/>
          <w:sz w:val="25"/>
          <w:szCs w:val="25"/>
        </w:rPr>
      </w:r>
    </w:p>
    <w:p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sz w:val="25"/>
          <w:szCs w:val="25"/>
        </w:rPr>
        <w:t xml:space="preserve">         Республики Алтай </w:t>
      </w:r>
      <w:r>
        <w:rPr>
          <w:rFonts w:ascii="PT Astra Serif" w:hAnsi="PT Astra Serif" w:cs="Times New Roman"/>
          <w:sz w:val="25"/>
          <w:szCs w:val="25"/>
        </w:rPr>
        <w:tab/>
      </w:r>
      <w:r>
        <w:rPr>
          <w:rFonts w:ascii="PT Astra Serif" w:hAnsi="PT Astra Serif" w:cs="Times New Roman"/>
          <w:sz w:val="25"/>
          <w:szCs w:val="25"/>
        </w:rPr>
        <w:tab/>
      </w:r>
      <w:r>
        <w:rPr>
          <w:rFonts w:ascii="PT Astra Serif" w:hAnsi="PT Astra Serif" w:cs="Times New Roman"/>
          <w:sz w:val="25"/>
          <w:szCs w:val="25"/>
        </w:rPr>
        <w:tab/>
      </w:r>
      <w:r>
        <w:rPr>
          <w:rFonts w:ascii="PT Astra Serif" w:hAnsi="PT Astra Serif" w:cs="Times New Roman"/>
          <w:sz w:val="25"/>
          <w:szCs w:val="25"/>
        </w:rPr>
        <w:tab/>
      </w:r>
      <w:r>
        <w:rPr>
          <w:rFonts w:ascii="PT Astra Serif" w:hAnsi="PT Astra Serif" w:cs="Times New Roman"/>
          <w:sz w:val="25"/>
          <w:szCs w:val="25"/>
        </w:rPr>
        <w:tab/>
      </w:r>
      <w:r>
        <w:rPr>
          <w:rFonts w:ascii="PT Astra Serif" w:hAnsi="PT Astra Serif" w:cs="Times New Roman"/>
          <w:sz w:val="25"/>
          <w:szCs w:val="25"/>
        </w:rPr>
        <w:tab/>
        <w:t xml:space="preserve">                 </w:t>
      </w:r>
      <w:r>
        <w:rPr>
          <w:rFonts w:ascii="PT Astra Serif" w:hAnsi="PT Astra Serif" w:cs="Times New Roman"/>
          <w:sz w:val="25"/>
          <w:szCs w:val="25"/>
        </w:rPr>
        <w:t xml:space="preserve">        </w:t>
      </w:r>
      <w:r>
        <w:rPr>
          <w:rFonts w:ascii="PT Astra Serif" w:hAnsi="PT Astra Serif" w:cs="Times New Roman"/>
          <w:sz w:val="25"/>
          <w:szCs w:val="25"/>
        </w:rPr>
        <w:t xml:space="preserve">А.С. Прокопьев</w:t>
      </w:r>
      <w:bookmarkStart w:id="0" w:name="_GoBack"/>
      <w:r/>
      <w:bookmarkEnd w:id="0"/>
      <w:r/>
      <w:r>
        <w:rPr>
          <w:rFonts w:ascii="PT Astra Serif" w:hAnsi="PT Astra Serif" w:cs="Times New Roman"/>
          <w:b/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566" w:bottom="993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309020205020404"/>
  </w:font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  <w:jc w:val="center"/>
    </w:pPr>
    <w:r/>
    <w:r/>
  </w:p>
  <w:p>
    <w:pPr>
      <w:pStyle w:val="70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0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0"/>
    <w:link w:val="67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0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0"/>
    <w:link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80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0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0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0"/>
    <w:link w:val="67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0"/>
    <w:link w:val="6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80"/>
    <w:link w:val="692"/>
    <w:uiPriority w:val="10"/>
    <w:rPr>
      <w:sz w:val="48"/>
      <w:szCs w:val="48"/>
    </w:rPr>
  </w:style>
  <w:style w:type="character" w:styleId="38">
    <w:name w:val="Subtitle Char"/>
    <w:basedOn w:val="680"/>
    <w:link w:val="694"/>
    <w:uiPriority w:val="11"/>
    <w:rPr>
      <w:sz w:val="24"/>
      <w:szCs w:val="24"/>
    </w:rPr>
  </w:style>
  <w:style w:type="character" w:styleId="40">
    <w:name w:val="Quote Char"/>
    <w:link w:val="696"/>
    <w:uiPriority w:val="29"/>
    <w:rPr>
      <w:i/>
    </w:rPr>
  </w:style>
  <w:style w:type="character" w:styleId="42">
    <w:name w:val="Intense Quote Char"/>
    <w:link w:val="700"/>
    <w:uiPriority w:val="30"/>
    <w:rPr>
      <w:i/>
    </w:rPr>
  </w:style>
  <w:style w:type="character" w:styleId="44">
    <w:name w:val="Header Char"/>
    <w:basedOn w:val="680"/>
    <w:link w:val="704"/>
    <w:uiPriority w:val="99"/>
  </w:style>
  <w:style w:type="character" w:styleId="46">
    <w:name w:val="Footer Char"/>
    <w:basedOn w:val="680"/>
    <w:link w:val="706"/>
    <w:uiPriority w:val="99"/>
  </w:style>
  <w:style w:type="paragraph" w:styleId="47">
    <w:name w:val="Caption"/>
    <w:basedOn w:val="670"/>
    <w:next w:val="67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0"/>
    <w:uiPriority w:val="99"/>
    <w:unhideWhenUsed/>
    <w:rPr>
      <w:vertAlign w:val="superscript"/>
    </w:rPr>
  </w:style>
  <w:style w:type="paragraph" w:styleId="179">
    <w:name w:val="endnote text"/>
    <w:basedOn w:val="67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0"/>
    <w:uiPriority w:val="99"/>
    <w:semiHidden/>
    <w:unhideWhenUsed/>
    <w:rPr>
      <w:vertAlign w:val="superscript"/>
    </w:rPr>
  </w:style>
  <w:style w:type="paragraph" w:styleId="182">
    <w:name w:val="toc 1"/>
    <w:basedOn w:val="670"/>
    <w:next w:val="67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0"/>
    <w:next w:val="67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0"/>
    <w:next w:val="67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0"/>
    <w:next w:val="67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0"/>
    <w:next w:val="67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0"/>
    <w:next w:val="67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0"/>
    <w:next w:val="67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0"/>
    <w:next w:val="67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0"/>
    <w:next w:val="67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0"/>
    <w:next w:val="670"/>
    <w:uiPriority w:val="99"/>
    <w:unhideWhenUsed/>
    <w:pPr>
      <w:spacing w:after="0" w:afterAutospacing="0"/>
    </w:pPr>
  </w:style>
  <w:style w:type="paragraph" w:styleId="670" w:default="1">
    <w:name w:val="Normal"/>
    <w:qFormat/>
    <w:pPr>
      <w:spacing w:after="200" w:line="276" w:lineRule="auto"/>
      <w:widowControl w:val="off"/>
    </w:pPr>
    <w:rPr>
      <w:rFonts w:ascii="Calibri" w:hAnsi="Calibri" w:eastAsia="Times New Roman" w:cs="Calibri"/>
      <w:sz w:val="22"/>
      <w:szCs w:val="22"/>
      <w:lang w:eastAsia="ru-RU"/>
    </w:rPr>
  </w:style>
  <w:style w:type="paragraph" w:styleId="671">
    <w:name w:val="Heading 1"/>
    <w:basedOn w:val="670"/>
    <w:next w:val="670"/>
    <w:link w:val="683"/>
    <w:uiPriority w:val="9"/>
    <w:qFormat/>
    <w:pPr>
      <w:keepLines/>
      <w:keepNext/>
      <w:spacing w:before="360" w:after="80" w:line="278" w:lineRule="auto"/>
      <w:widowControl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</w:rPr>
  </w:style>
  <w:style w:type="paragraph" w:styleId="672">
    <w:name w:val="Heading 2"/>
    <w:basedOn w:val="670"/>
    <w:next w:val="670"/>
    <w:link w:val="684"/>
    <w:uiPriority w:val="9"/>
    <w:semiHidden/>
    <w:unhideWhenUsed/>
    <w:qFormat/>
    <w:pPr>
      <w:keepLines/>
      <w:keepNext/>
      <w:spacing w:before="160" w:after="80" w:line="278" w:lineRule="auto"/>
      <w:widowControl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paragraph" w:styleId="673">
    <w:name w:val="Heading 3"/>
    <w:basedOn w:val="670"/>
    <w:next w:val="670"/>
    <w:link w:val="685"/>
    <w:uiPriority w:val="9"/>
    <w:semiHidden/>
    <w:unhideWhenUsed/>
    <w:qFormat/>
    <w:pPr>
      <w:keepLines/>
      <w:keepNext/>
      <w:spacing w:before="160" w:after="80" w:line="278" w:lineRule="auto"/>
      <w:widowControl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674">
    <w:name w:val="Heading 4"/>
    <w:basedOn w:val="670"/>
    <w:next w:val="670"/>
    <w:link w:val="686"/>
    <w:uiPriority w:val="9"/>
    <w:semiHidden/>
    <w:unhideWhenUsed/>
    <w:qFormat/>
    <w:pPr>
      <w:keepLines/>
      <w:keepNext/>
      <w:spacing w:before="80" w:after="40" w:line="278" w:lineRule="auto"/>
      <w:widowControl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675">
    <w:name w:val="Heading 5"/>
    <w:basedOn w:val="670"/>
    <w:next w:val="670"/>
    <w:link w:val="687"/>
    <w:uiPriority w:val="9"/>
    <w:semiHidden/>
    <w:unhideWhenUsed/>
    <w:qFormat/>
    <w:pPr>
      <w:keepLines/>
      <w:keepNext/>
      <w:spacing w:before="80" w:after="40" w:line="278" w:lineRule="auto"/>
      <w:widowControl/>
      <w:outlineLvl w:val="4"/>
    </w:pPr>
    <w:rPr>
      <w:rFonts w:asciiTheme="minorHAnsi" w:hAnsiTheme="minorHAnsi" w:eastAsiaTheme="majorEastAsia" w:cstheme="majorBidi"/>
      <w:color w:val="2f5496" w:themeColor="accent1" w:themeShade="BF"/>
      <w:sz w:val="24"/>
      <w:szCs w:val="24"/>
      <w:lang w:eastAsia="en-US"/>
    </w:rPr>
  </w:style>
  <w:style w:type="paragraph" w:styleId="676">
    <w:name w:val="Heading 6"/>
    <w:basedOn w:val="670"/>
    <w:next w:val="670"/>
    <w:link w:val="688"/>
    <w:uiPriority w:val="9"/>
    <w:semiHidden/>
    <w:unhideWhenUsed/>
    <w:qFormat/>
    <w:pPr>
      <w:keepLines/>
      <w:keepNext/>
      <w:spacing w:before="40" w:after="0" w:line="278" w:lineRule="auto"/>
      <w:widowControl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677">
    <w:name w:val="Heading 7"/>
    <w:basedOn w:val="670"/>
    <w:next w:val="670"/>
    <w:link w:val="689"/>
    <w:uiPriority w:val="9"/>
    <w:semiHidden/>
    <w:unhideWhenUsed/>
    <w:qFormat/>
    <w:pPr>
      <w:keepLines/>
      <w:keepNext/>
      <w:spacing w:before="40" w:after="0" w:line="278" w:lineRule="auto"/>
      <w:widowControl/>
      <w:outlineLvl w:val="6"/>
    </w:pPr>
    <w:rPr>
      <w:rFonts w:asciiTheme="minorHAnsi" w:hAnsiTheme="minorHAnsi"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678">
    <w:name w:val="Heading 8"/>
    <w:basedOn w:val="670"/>
    <w:next w:val="670"/>
    <w:link w:val="690"/>
    <w:uiPriority w:val="9"/>
    <w:semiHidden/>
    <w:unhideWhenUsed/>
    <w:qFormat/>
    <w:pPr>
      <w:keepLines/>
      <w:keepNext/>
      <w:spacing w:after="0" w:line="278" w:lineRule="auto"/>
      <w:widowControl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679">
    <w:name w:val="Heading 9"/>
    <w:basedOn w:val="670"/>
    <w:next w:val="670"/>
    <w:link w:val="691"/>
    <w:uiPriority w:val="9"/>
    <w:semiHidden/>
    <w:unhideWhenUsed/>
    <w:qFormat/>
    <w:pPr>
      <w:keepLines/>
      <w:keepNext/>
      <w:spacing w:after="0" w:line="278" w:lineRule="auto"/>
      <w:widowControl/>
      <w:outlineLvl w:val="8"/>
    </w:pPr>
    <w:rPr>
      <w:rFonts w:asciiTheme="minorHAnsi" w:hAnsiTheme="minorHAnsi" w:eastAsiaTheme="majorEastAsia" w:cstheme="majorBidi"/>
      <w:color w:val="272727" w:themeColor="text1" w:themeTint="D8"/>
      <w:sz w:val="24"/>
      <w:szCs w:val="24"/>
      <w:lang w:eastAsia="en-US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Заголовок 1 Знак"/>
    <w:basedOn w:val="680"/>
    <w:link w:val="671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84" w:customStyle="1">
    <w:name w:val="Заголовок 2 Знак"/>
    <w:basedOn w:val="680"/>
    <w:link w:val="67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85" w:customStyle="1">
    <w:name w:val="Заголовок 3 Знак"/>
    <w:basedOn w:val="680"/>
    <w:link w:val="67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86" w:customStyle="1">
    <w:name w:val="Заголовок 4 Знак"/>
    <w:basedOn w:val="680"/>
    <w:link w:val="67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87" w:customStyle="1">
    <w:name w:val="Заголовок 5 Знак"/>
    <w:basedOn w:val="680"/>
    <w:link w:val="675"/>
    <w:uiPriority w:val="9"/>
    <w:semiHidden/>
    <w:rPr>
      <w:rFonts w:eastAsiaTheme="majorEastAsia" w:cstheme="majorBidi"/>
      <w:color w:val="2f5496" w:themeColor="accent1" w:themeShade="BF"/>
    </w:rPr>
  </w:style>
  <w:style w:type="character" w:styleId="688" w:customStyle="1">
    <w:name w:val="Заголовок 6 Знак"/>
    <w:basedOn w:val="680"/>
    <w:link w:val="67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89" w:customStyle="1">
    <w:name w:val="Заголовок 7 Знак"/>
    <w:basedOn w:val="680"/>
    <w:link w:val="677"/>
    <w:uiPriority w:val="9"/>
    <w:semiHidden/>
    <w:rPr>
      <w:rFonts w:eastAsiaTheme="majorEastAsia" w:cstheme="majorBidi"/>
      <w:color w:val="595959" w:themeColor="text1" w:themeTint="A6"/>
    </w:rPr>
  </w:style>
  <w:style w:type="character" w:styleId="690" w:customStyle="1">
    <w:name w:val="Заголовок 8 Знак"/>
    <w:basedOn w:val="680"/>
    <w:link w:val="67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91" w:customStyle="1">
    <w:name w:val="Заголовок 9 Знак"/>
    <w:basedOn w:val="680"/>
    <w:link w:val="679"/>
    <w:uiPriority w:val="9"/>
    <w:semiHidden/>
    <w:rPr>
      <w:rFonts w:eastAsiaTheme="majorEastAsia" w:cstheme="majorBidi"/>
      <w:color w:val="272727" w:themeColor="text1" w:themeTint="D8"/>
    </w:rPr>
  </w:style>
  <w:style w:type="paragraph" w:styleId="692">
    <w:name w:val="Title"/>
    <w:basedOn w:val="670"/>
    <w:next w:val="670"/>
    <w:link w:val="693"/>
    <w:uiPriority w:val="10"/>
    <w:qFormat/>
    <w:pPr>
      <w:contextualSpacing/>
      <w:spacing w:after="80" w:line="240" w:lineRule="auto"/>
      <w:widowControl/>
    </w:pPr>
    <w:rPr>
      <w:rFonts w:asciiTheme="majorHAnsi" w:hAnsiTheme="majorHAnsi" w:eastAsiaTheme="majorEastAsia" w:cstheme="majorBidi"/>
      <w:spacing w:val="-10"/>
      <w:sz w:val="56"/>
      <w:szCs w:val="56"/>
      <w:lang w:eastAsia="en-US"/>
    </w:rPr>
  </w:style>
  <w:style w:type="character" w:styleId="693" w:customStyle="1">
    <w:name w:val="Заголовок Знак"/>
    <w:basedOn w:val="680"/>
    <w:link w:val="69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94">
    <w:name w:val="Subtitle"/>
    <w:basedOn w:val="670"/>
    <w:next w:val="670"/>
    <w:link w:val="695"/>
    <w:uiPriority w:val="11"/>
    <w:qFormat/>
    <w:pPr>
      <w:numPr>
        <w:ilvl w:val="1"/>
      </w:numPr>
      <w:spacing w:after="160" w:line="278" w:lineRule="auto"/>
      <w:widowControl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styleId="695" w:customStyle="1">
    <w:name w:val="Подзаголовок Знак"/>
    <w:basedOn w:val="680"/>
    <w:link w:val="69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6">
    <w:name w:val="Quote"/>
    <w:basedOn w:val="670"/>
    <w:next w:val="670"/>
    <w:link w:val="697"/>
    <w:uiPriority w:val="29"/>
    <w:qFormat/>
    <w:pPr>
      <w:jc w:val="center"/>
      <w:spacing w:before="160" w:after="160" w:line="278" w:lineRule="auto"/>
      <w:widowControl/>
    </w:pPr>
    <w:rPr>
      <w:rFonts w:asciiTheme="minorHAnsi" w:hAnsiTheme="minorHAnsi" w:eastAsia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styleId="697" w:customStyle="1">
    <w:name w:val="Цитата 2 Знак"/>
    <w:basedOn w:val="680"/>
    <w:link w:val="696"/>
    <w:uiPriority w:val="29"/>
    <w:rPr>
      <w:i/>
      <w:iCs/>
      <w:color w:val="404040" w:themeColor="text1" w:themeTint="BF"/>
    </w:rPr>
  </w:style>
  <w:style w:type="paragraph" w:styleId="698">
    <w:name w:val="List Paragraph"/>
    <w:basedOn w:val="670"/>
    <w:uiPriority w:val="34"/>
    <w:qFormat/>
    <w:pPr>
      <w:contextualSpacing/>
      <w:ind w:left="720"/>
      <w:spacing w:after="160" w:line="278" w:lineRule="auto"/>
      <w:widowControl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character" w:styleId="699">
    <w:name w:val="Intense Emphasis"/>
    <w:basedOn w:val="680"/>
    <w:uiPriority w:val="21"/>
    <w:qFormat/>
    <w:rPr>
      <w:i/>
      <w:iCs/>
      <w:color w:val="2f5496" w:themeColor="accent1" w:themeShade="BF"/>
    </w:rPr>
  </w:style>
  <w:style w:type="paragraph" w:styleId="700">
    <w:name w:val="Intense Quote"/>
    <w:basedOn w:val="670"/>
    <w:next w:val="670"/>
    <w:link w:val="701"/>
    <w:uiPriority w:val="30"/>
    <w:qFormat/>
    <w:pPr>
      <w:ind w:left="864" w:right="864"/>
      <w:jc w:val="center"/>
      <w:spacing w:before="360" w:after="360" w:line="278" w:lineRule="auto"/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rFonts w:asciiTheme="minorHAnsi" w:hAnsiTheme="minorHAnsi" w:eastAsiaTheme="minorHAnsi" w:cstheme="minorBidi"/>
      <w:i/>
      <w:iCs/>
      <w:color w:val="2f5496" w:themeColor="accent1" w:themeShade="BF"/>
      <w:sz w:val="24"/>
      <w:szCs w:val="24"/>
      <w:lang w:eastAsia="en-US"/>
    </w:rPr>
  </w:style>
  <w:style w:type="character" w:styleId="701" w:customStyle="1">
    <w:name w:val="Выделенная цитата Знак"/>
    <w:basedOn w:val="680"/>
    <w:link w:val="700"/>
    <w:uiPriority w:val="30"/>
    <w:rPr>
      <w:i/>
      <w:iCs/>
      <w:color w:val="2f5496" w:themeColor="accent1" w:themeShade="BF"/>
    </w:rPr>
  </w:style>
  <w:style w:type="character" w:styleId="702">
    <w:name w:val="Intense Reference"/>
    <w:basedOn w:val="68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703">
    <w:name w:val="Normal (Web)"/>
    <w:basedOn w:val="670"/>
    <w:uiPriority w:val="99"/>
    <w:unhideWhenUsed/>
    <w:qFormat/>
    <w:rPr>
      <w:sz w:val="24"/>
      <w:szCs w:val="24"/>
    </w:rPr>
  </w:style>
  <w:style w:type="paragraph" w:styleId="704">
    <w:name w:val="Header"/>
    <w:basedOn w:val="670"/>
    <w:link w:val="7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5" w:customStyle="1">
    <w:name w:val="Верхний колонтитул Знак"/>
    <w:basedOn w:val="680"/>
    <w:link w:val="704"/>
    <w:uiPriority w:val="99"/>
    <w:rPr>
      <w:rFonts w:ascii="Calibri" w:hAnsi="Calibri" w:eastAsia="Times New Roman" w:cs="Calibri"/>
      <w:sz w:val="22"/>
      <w:szCs w:val="22"/>
      <w:lang w:eastAsia="ru-RU"/>
    </w:rPr>
  </w:style>
  <w:style w:type="paragraph" w:styleId="706">
    <w:name w:val="Footer"/>
    <w:basedOn w:val="670"/>
    <w:link w:val="70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7" w:customStyle="1">
    <w:name w:val="Нижний колонтитул Знак"/>
    <w:basedOn w:val="680"/>
    <w:link w:val="706"/>
    <w:uiPriority w:val="99"/>
    <w:rPr>
      <w:rFonts w:ascii="Calibri" w:hAnsi="Calibri" w:eastAsia="Times New Roman" w:cs="Calibri"/>
      <w:sz w:val="22"/>
      <w:szCs w:val="22"/>
      <w:lang w:eastAsia="ru-RU"/>
    </w:rPr>
  </w:style>
  <w:style w:type="character" w:styleId="708" w:customStyle="1">
    <w:name w:val="Основной текст (4)_"/>
    <w:basedOn w:val="680"/>
    <w:link w:val="70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709" w:customStyle="1">
    <w:name w:val="Основной текст (4)"/>
    <w:basedOn w:val="670"/>
    <w:link w:val="708"/>
    <w:pPr>
      <w:jc w:val="center"/>
      <w:spacing w:before="1080" w:after="540" w:line="320" w:lineRule="exact"/>
      <w:shd w:val="clear" w:color="auto" w:fill="ffffff"/>
    </w:pPr>
    <w:rPr>
      <w:rFonts w:ascii="Times New Roman" w:hAnsi="Times New Roman" w:cs="Times New Roman" w:eastAsiaTheme="minorHAnsi"/>
      <w:b/>
      <w:bCs/>
      <w:sz w:val="26"/>
      <w:szCs w:val="26"/>
      <w:lang w:eastAsia="en-US"/>
    </w:rPr>
  </w:style>
  <w:style w:type="paragraph" w:styleId="710">
    <w:name w:val="Balloon Text"/>
    <w:basedOn w:val="670"/>
    <w:link w:val="71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11" w:customStyle="1">
    <w:name w:val="Текст выноски Знак"/>
    <w:basedOn w:val="680"/>
    <w:link w:val="71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712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Cs w:val="22"/>
      <w:lang w:eastAsia="ru-RU"/>
    </w:rPr>
  </w:style>
  <w:style w:type="character" w:styleId="713">
    <w:name w:val="Hyperlink"/>
    <w:basedOn w:val="680"/>
    <w:uiPriority w:val="99"/>
    <w:semiHidden/>
    <w:unhideWhenUsed/>
    <w:rPr>
      <w:color w:val="0000ff"/>
      <w:u w:val="single"/>
    </w:rPr>
  </w:style>
  <w:style w:type="paragraph" w:styleId="714">
    <w:name w:val="HTML Preformatted"/>
    <w:basedOn w:val="670"/>
    <w:link w:val="715"/>
    <w:uiPriority w:val="99"/>
    <w:semiHidden/>
    <w:unhideWhenUsed/>
    <w:pPr>
      <w:spacing w:after="0" w:line="240" w:lineRule="auto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715" w:customStyle="1">
    <w:name w:val="Стандартный HTML Знак"/>
    <w:basedOn w:val="680"/>
    <w:link w:val="714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44A66-515B-440D-9271-5496F770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Erkin Kergilov</dc:creator>
  <cp:lastModifiedBy>Маташев Владимир Алексеевич</cp:lastModifiedBy>
  <cp:revision>59</cp:revision>
  <dcterms:created xsi:type="dcterms:W3CDTF">2026-05-07T07:40:00Z</dcterms:created>
  <dcterms:modified xsi:type="dcterms:W3CDTF">2026-08-31T03:34:05Z</dcterms:modified>
</cp:coreProperties>
</file>