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19"/>
        <w:tblW w:w="9720" w:type="dxa"/>
        <w:tblInd w:w="-1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>
        <w:tblPrEx/>
        <w:trPr>
          <w:trHeight w:val="1134" w:hRule="exact"/>
        </w:trPr>
        <w:tc>
          <w:tcPr>
            <w:tcW w:w="4320" w:type="dxa"/>
            <w:textDirection w:val="lrTb"/>
            <w:noWrap w:val="false"/>
          </w:tcPr>
          <w:p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5600" cy="612000"/>
                      <wp:effectExtent l="19050" t="0" r="0" b="0"/>
                      <wp:docPr id="1" name="Рисунок 1" descr="C:\Users\User\Desktop\ГЕРБ РА [преобразованный]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C:\Users\User\Desktop\ГЕРБ РА [преобразованный]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15600" cy="612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8.47pt;height:48.19pt;mso-wrap-distance-left:0.00pt;mso-wrap-distance-top:0.00pt;mso-wrap-distance-right:0.00pt;mso-wrap-distance-bottom:0.00pt;" stroked="f" strokeweight="0.75pt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43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</w:tr>
      <w:tr>
        <w:tblPrEx/>
        <w:trPr>
          <w:trHeight w:val="851" w:hRule="exact"/>
        </w:trPr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ПРАВИТЕЛЬСТВО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РЕСПУБЛИКИ АЛТАЙ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 xml:space="preserve">АЛТАЙ РЕСПУБЛИКАНЫҤ</w:t>
            </w:r>
            <w:r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 xml:space="preserve">БАШКАРУЗЫ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</w:tr>
      <w:tr>
        <w:tblPrEx/>
        <w:trPr>
          <w:trHeight w:val="170" w:hRule="exact"/>
        </w:trPr>
        <w:tc>
          <w:tcPr>
            <w:gridSpan w:val="3"/>
            <w:tcBorders>
              <w:bottom w:val="single" w:color="auto" w:sz="24" w:space="0"/>
            </w:tcBorders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r>
              <w:rPr>
                <w:rFonts w:ascii="PT Astra Serif" w:hAnsi="PT Astra Serif" w:cs="Times New Roman"/>
                <w:sz w:val="26"/>
                <w:szCs w:val="26"/>
                <w:lang w:val="en-US"/>
              </w:rPr>
            </w:r>
            <w:r>
              <w:rPr>
                <w:rFonts w:ascii="PT Astra Serif" w:hAnsi="PT Astra Serif" w:cs="Times New Roman"/>
                <w:sz w:val="26"/>
                <w:szCs w:val="26"/>
                <w:lang w:val="en-US"/>
              </w:rPr>
            </w:r>
          </w:p>
        </w:tc>
      </w:tr>
      <w:tr>
        <w:tblPrEx/>
        <w:trPr>
          <w:trHeight w:val="283" w:hRule="exact"/>
        </w:trPr>
        <w:tc>
          <w:tcPr>
            <w:gridSpan w:val="3"/>
            <w:tcBorders>
              <w:top w:val="single" w:color="auto" w:sz="24" w:space="0"/>
            </w:tcBorders>
            <w:tcW w:w="9720" w:type="dxa"/>
            <w:textDirection w:val="lrTb"/>
            <w:noWrap w:val="false"/>
          </w:tcPr>
          <w:p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r>
              <w:rPr>
                <w:rFonts w:ascii="PT Astra Serif" w:hAnsi="PT Astra Serif" w:cs="Times New Roman"/>
                <w:sz w:val="26"/>
                <w:szCs w:val="26"/>
                <w:lang w:val="en-US"/>
              </w:rPr>
            </w:r>
            <w:r>
              <w:rPr>
                <w:rFonts w:ascii="PT Astra Serif" w:hAnsi="PT Astra Serif" w:cs="Times New Roman"/>
                <w:sz w:val="26"/>
                <w:szCs w:val="26"/>
                <w:lang w:val="en-US"/>
              </w:rPr>
            </w:r>
          </w:p>
        </w:tc>
      </w:tr>
      <w:tr>
        <w:tblPrEx/>
        <w:trPr>
          <w:trHeight w:val="283"/>
        </w:trPr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ПОСТАНОВЛЕНИЕ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ЈӦП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left"/>
              <w:tabs>
                <w:tab w:val="center" w:pos="4292" w:leader="none"/>
              </w:tabs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r/>
            <w:bookmarkEnd w:id="0"/>
            <w:r/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  <w:p>
            <w:pPr>
              <w:jc w:val="left"/>
              <w:tabs>
                <w:tab w:val="center" w:pos="4292" w:leader="none"/>
              </w:tabs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г. Горно-Алтайск</w:t>
            </w:r>
            <w:r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/>
            <w:permStart w:edGrp="everyone" w:id="714610026"/>
            <w:r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[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6"/>
                <w:szCs w:val="26"/>
              </w:rPr>
              <w:t xml:space="preserve">О внесении изменени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6"/>
                <w:szCs w:val="26"/>
              </w:rPr>
              <w:t xml:space="preserve">й в некоторые постановления Правительства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6"/>
                <w:szCs w:val="26"/>
              </w:rPr>
              <w:br/>
              <w:t xml:space="preserve">Республики Алтай</w:t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]</w:t>
            </w:r>
            <w:permEnd w:id="714610026"/>
            <w:r/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</w:tc>
      </w:tr>
    </w:tbl>
    <w:p>
      <w:pPr>
        <w:ind w:firstLine="709"/>
        <w:widowControl w:val="off"/>
        <w:rPr>
          <w:rFonts w:ascii="PT Astra Serif" w:hAnsi="PT Astra Serif" w:eastAsia="Times New Roman" w:cs="PT Astra Serif"/>
          <w:b/>
          <w:bCs/>
          <w:sz w:val="26"/>
          <w:szCs w:val="26"/>
          <w:lang w:eastAsia="ru-RU"/>
        </w:rPr>
      </w:pPr>
      <w:r/>
      <w:permStart w:edGrp="everyone" w:id="190201729"/>
      <w:r>
        <w:rPr>
          <w:rFonts w:ascii="PT Astra Serif" w:hAnsi="PT Astra Serif" w:eastAsia="Times New Roman" w:cs="PT Astra Serif"/>
          <w:sz w:val="26"/>
          <w:szCs w:val="26"/>
          <w:lang w:eastAsia="ru-RU"/>
        </w:rPr>
        <w:t xml:space="preserve">Правительство Республики Алтай </w:t>
      </w:r>
      <w:r>
        <w:rPr>
          <w:rFonts w:ascii="PT Astra Serif" w:hAnsi="PT Astra Serif" w:eastAsia="Times New Roman" w:cs="PT Astra Serif"/>
          <w:b/>
          <w:bCs/>
          <w:sz w:val="26"/>
          <w:szCs w:val="26"/>
          <w:lang w:eastAsia="ru-RU"/>
        </w:rPr>
        <w:t xml:space="preserve">п о с </w:t>
      </w:r>
      <w:r>
        <w:rPr>
          <w:rFonts w:ascii="PT Astra Serif" w:hAnsi="PT Astra Serif" w:eastAsia="Times New Roman" w:cs="PT Astra Serif"/>
          <w:b/>
          <w:bCs/>
          <w:sz w:val="26"/>
          <w:szCs w:val="26"/>
          <w:lang w:eastAsia="ru-RU"/>
        </w:rPr>
        <w:t xml:space="preserve">т</w:t>
      </w:r>
      <w:r>
        <w:rPr>
          <w:rFonts w:ascii="PT Astra Serif" w:hAnsi="PT Astra Serif" w:eastAsia="Times New Roman" w:cs="PT Astra Serif"/>
          <w:b/>
          <w:bCs/>
          <w:sz w:val="26"/>
          <w:szCs w:val="26"/>
          <w:lang w:eastAsia="ru-RU"/>
        </w:rPr>
        <w:t xml:space="preserve"> а н о в л я е т:</w:t>
      </w:r>
      <w:r>
        <w:rPr>
          <w:rFonts w:ascii="PT Astra Serif" w:hAnsi="PT Astra Serif" w:eastAsia="Times New Roman" w:cs="PT Astra Serif"/>
          <w:b/>
          <w:bCs/>
          <w:sz w:val="26"/>
          <w:szCs w:val="26"/>
          <w:lang w:eastAsia="ru-RU"/>
        </w:rPr>
      </w:r>
    </w:p>
    <w:p>
      <w:pPr>
        <w:ind w:firstLine="709"/>
        <w:widowControl w:val="off"/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</w:pP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1. 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П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ункт 2.6. 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раздела 2 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П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оложения о п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орядке определения размера арендной платы за использование земельных участков на территории Республики Алтай, государственная собственность на которые не разграничена, утвержденного постановлением Правительства Республики Алтай от 18 ноября 2008 года № 261</w:t>
      </w:r>
      <w:r>
        <w:t xml:space="preserve"> </w:t>
      </w:r>
      <w:r>
        <w:t xml:space="preserve">(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Сборник законодательства Республики Алтай, 2008, 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№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 55(61); 2011, 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№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 73(79); 2015, 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№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 126(132); 2017, 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№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 146(152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)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; 202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1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, </w:t>
      </w:r>
      <w:r>
        <w:rPr>
          <w:rFonts w:ascii="PT Astra Serif" w:hAnsi="PT Astra Serif" w:eastAsia="Times New Roman" w:cs="PT Astra Serif"/>
          <w:bCs/>
          <w:color w:val="ff0000"/>
          <w:sz w:val="26"/>
          <w:szCs w:val="26"/>
          <w:highlight w:val="yellow"/>
          <w:lang w:eastAsia="ru-RU"/>
        </w:rPr>
        <w:t xml:space="preserve">№ 1</w:t>
      </w:r>
      <w:r>
        <w:rPr>
          <w:rFonts w:ascii="PT Astra Serif" w:hAnsi="PT Astra Serif" w:eastAsia="Times New Roman" w:cs="PT Astra Serif"/>
          <w:bCs/>
          <w:color w:val="ff0000"/>
          <w:sz w:val="26"/>
          <w:szCs w:val="26"/>
          <w:highlight w:val="yellow"/>
          <w:lang w:eastAsia="ru-RU"/>
        </w:rPr>
        <w:t xml:space="preserve">86(192)</w:t>
      </w:r>
      <w:r>
        <w:rPr>
          <w:rFonts w:ascii="PT Astra Serif" w:hAnsi="PT Astra Serif" w:eastAsia="Times New Roman" w:cs="PT Astra Serif"/>
          <w:bCs/>
          <w:color w:val="ff0000"/>
          <w:sz w:val="26"/>
          <w:szCs w:val="26"/>
          <w:lang w:eastAsia="ru-RU"/>
        </w:rPr>
        <w:t xml:space="preserve">,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 признать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  <w:t xml:space="preserve"> утратившим силу.</w:t>
      </w:r>
      <w:r>
        <w:rPr>
          <w:rFonts w:ascii="PT Astra Serif" w:hAnsi="PT Astra Serif" w:eastAsia="Times New Roman" w:cs="PT Astra Serif"/>
          <w:bCs/>
          <w:sz w:val="26"/>
          <w:szCs w:val="26"/>
          <w:lang w:eastAsia="ru-RU"/>
        </w:rPr>
      </w:r>
    </w:p>
    <w:p>
      <w:pPr>
        <w:pStyle w:val="722"/>
        <w:ind w:firstLine="709"/>
        <w:jc w:val="both"/>
        <w:widowControl w:val="off"/>
        <w:rPr>
          <w:rFonts w:ascii="PT Astra Serif" w:hAnsi="PT Astra Serif" w:eastAsia="Times New Roman"/>
          <w:color w:val="auto"/>
          <w:sz w:val="26"/>
          <w:szCs w:val="26"/>
          <w:lang w:eastAsia="ru-RU"/>
        </w:rPr>
      </w:pP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2. 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Внести в раздел </w:t>
      </w:r>
      <w:r>
        <w:rPr>
          <w:rFonts w:ascii="PT Astra Serif" w:hAnsi="PT Astra Serif" w:eastAsia="Times New Roman"/>
          <w:color w:val="auto"/>
          <w:sz w:val="26"/>
          <w:szCs w:val="26"/>
          <w:lang w:val="en-US" w:eastAsia="ru-RU"/>
        </w:rPr>
        <w:t xml:space="preserve">II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 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Поряд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ка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 определения размера арендной платы за земельные участки, находящиеся в государственной собст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венности Республики Алтай, предоставленные в аренду без торгов, утвержденного постановлением Правительства Республики Алтай от 29 ноября 2019 года № 333 (Сборник законодательства Республики Алтай, 2019, № 170(176); 2020, № 180(186); 2021, № 186(192); 2022,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 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№ 199(205),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 следующие изменения: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</w:r>
    </w:p>
    <w:p>
      <w:pPr>
        <w:pStyle w:val="722"/>
        <w:ind w:firstLine="709"/>
        <w:jc w:val="both"/>
        <w:widowControl w:val="off"/>
        <w:rPr>
          <w:rFonts w:ascii="PT Astra Serif" w:hAnsi="PT Astra Serif" w:eastAsia="Times New Roman"/>
          <w:color w:val="auto"/>
          <w:sz w:val="26"/>
          <w:szCs w:val="26"/>
          <w:lang w:eastAsia="ru-RU"/>
        </w:rPr>
      </w:pP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а) 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в пункте 2 слова «государственной власти» исключить;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</w:r>
    </w:p>
    <w:p>
      <w:pPr>
        <w:pStyle w:val="722"/>
        <w:ind w:firstLine="709"/>
        <w:jc w:val="both"/>
        <w:widowControl w:val="off"/>
        <w:rPr>
          <w:rFonts w:ascii="PT Astra Serif" w:hAnsi="PT Astra Serif" w:eastAsia="Times New Roman"/>
          <w:color w:val="auto"/>
          <w:sz w:val="26"/>
          <w:szCs w:val="26"/>
          <w:lang w:eastAsia="ru-RU"/>
        </w:rPr>
      </w:pP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б) в 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пункте 3 таблицу изложить в следующей редакции: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</w:r>
    </w:p>
    <w:tbl>
      <w:tblPr>
        <w:tblW w:w="97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37"/>
        <w:gridCol w:w="6129"/>
        <w:gridCol w:w="1418"/>
        <w:gridCol w:w="1417"/>
      </w:tblGrid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«</w:t>
            </w:r>
            <w:r>
              <w:t xml:space="preserve">№ п/п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Категория земель и вид разрешенного использования земельного участка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вида разрешенного использования земельного участка</w:t>
            </w:r>
            <w:r>
              <w:rPr>
                <w:sz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Коэффициент</w:t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gridSpan w:val="4"/>
            <w:tcW w:w="9701" w:type="dxa"/>
            <w:textDirection w:val="lrTb"/>
            <w:noWrap w:val="false"/>
          </w:tcPr>
          <w:p>
            <w:pPr>
              <w:pStyle w:val="730"/>
              <w:jc w:val="center"/>
              <w:outlineLvl w:val="2"/>
            </w:pPr>
            <w:r>
              <w:t xml:space="preserve">Земли населенных пунктов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Многоэтажная жилая застройка (высотная застройка)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2.6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Для индивидуального жилищного строительства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2.1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Для ведения личного подсобного хозяйства </w:t>
            </w:r>
            <w:r>
              <w:t xml:space="preserve">(приусадебный земельный участок)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2.2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4.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Хранение автотранспорта 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2.7.1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5.</w:t>
            </w:r>
            <w:r/>
          </w:p>
        </w:tc>
        <w:tc>
          <w:tcPr>
            <w:tcBorders>
              <w:bottom w:val="none" w:color="000000" w:sz="4" w:space="0"/>
            </w:tcBorders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Размещение гаражей для собственных нужд</w:t>
            </w:r>
            <w:r/>
          </w:p>
        </w:tc>
        <w:tc>
          <w:tcPr>
            <w:tcBorders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2.7.2</w:t>
            </w:r>
            <w:r/>
          </w:p>
        </w:tc>
        <w:tc>
          <w:tcPr>
            <w:tcBorders>
              <w:bottom w:val="non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6.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Образование и просвещение</w:t>
            </w:r>
            <w:r/>
          </w:p>
          <w:p>
            <w:pPr>
              <w:pStyle w:val="730"/>
              <w:jc w:val="both"/>
            </w:pPr>
            <w:r/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3.5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7.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</w:pPr>
            <w:r>
              <w:t xml:space="preserve">Здравоохранение</w:t>
            </w:r>
            <w:r/>
          </w:p>
          <w:p>
            <w:pPr>
              <w:pStyle w:val="730"/>
              <w:jc w:val="both"/>
            </w:pPr>
            <w:r/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3.4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8.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Культурное развитие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3.6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9.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Религиозное использование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3.7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10.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Пищевая промышленность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6.4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11.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Строительная промышленность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6.6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</w:t>
            </w:r>
            <w:r>
              <w:t xml:space="preserve">2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Ведение садоводства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13.2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</w:t>
            </w:r>
            <w:r>
              <w:t xml:space="preserve">3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Ведение огородничества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13.1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</w:t>
            </w:r>
            <w:r>
              <w:t xml:space="preserve">4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Гостиничное обслуживание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4.7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15.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Объекты торговли (торговые центры, торгово-развлекательные центры (комплексы)</w:t>
            </w:r>
            <w:r/>
          </w:p>
          <w:p>
            <w:pPr>
              <w:pStyle w:val="730"/>
              <w:jc w:val="both"/>
            </w:pPr>
            <w:r/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4.2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0,03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16.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</w:pPr>
            <w:r>
              <w:t xml:space="preserve">Магазины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4,4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0,03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17.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</w:pPr>
            <w:r>
              <w:t xml:space="preserve">Общественное питание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4.6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0,03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18.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</w:pPr>
            <w:r>
              <w:t xml:space="preserve">Гостиничное обслуживание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4.7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0,03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1</w:t>
            </w:r>
            <w:r>
              <w:t xml:space="preserve">9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</w:pPr>
            <w:r>
              <w:t xml:space="preserve">Амбулаторно-поликлиническое обслуживание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3.4.1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20.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</w:pPr>
            <w:r>
              <w:t xml:space="preserve">Стационарное медицинское обслуживание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3.4.2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Borders>
              <w:bottom w:val="single" w:color="auto" w:sz="4" w:space="0"/>
            </w:tcBorders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21</w:t>
            </w:r>
            <w:r>
              <w:t xml:space="preserve">.</w:t>
            </w:r>
            <w:r/>
          </w:p>
        </w:tc>
        <w:tc>
          <w:tcPr>
            <w:tcBorders>
              <w:bottom w:val="single" w:color="auto" w:sz="4" w:space="0"/>
            </w:tcBorders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Объекты дорожного сервиса</w:t>
            </w:r>
            <w:r/>
          </w:p>
        </w:tc>
        <w:tc>
          <w:tcPr>
            <w:tcBorders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4.9.1</w:t>
            </w:r>
            <w:r/>
          </w:p>
        </w:tc>
        <w:tc>
          <w:tcPr>
            <w:tcBorders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0,04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22.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Отдых (рекреация)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5,0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23.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Связь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6.8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24</w:t>
            </w:r>
            <w:r>
              <w:t xml:space="preserve">.</w:t>
            </w:r>
            <w:r/>
          </w:p>
        </w:tc>
        <w:tc>
          <w:tcPr>
            <w:tcBorders>
              <w:bottom w:val="none" w:color="000000" w:sz="4" w:space="0"/>
            </w:tcBorders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Сельскохозяйственное использование</w:t>
            </w:r>
            <w:r/>
          </w:p>
        </w:tc>
        <w:tc>
          <w:tcPr>
            <w:tcBorders>
              <w:bottom w:val="non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1.0</w:t>
            </w:r>
            <w:r/>
          </w:p>
        </w:tc>
        <w:tc>
          <w:tcPr>
            <w:tcBorders>
              <w:bottom w:val="non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gridSpan w:val="3"/>
            <w:tcW w:w="8284" w:type="dxa"/>
            <w:textDirection w:val="lrTb"/>
            <w:noWrap w:val="false"/>
          </w:tcPr>
          <w:p>
            <w:pPr>
              <w:pStyle w:val="730"/>
              <w:jc w:val="center"/>
              <w:outlineLvl w:val="2"/>
            </w:pPr>
            <w:r>
              <w:t xml:space="preserve">Земли сельскохозяйственного назначения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  <w:outlineLvl w:val="2"/>
            </w:pPr>
            <w:r/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25.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Выращивание тонизирующих, лекарственных, цветочных культур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26.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Выращивание льна и конопли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27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Овощеводство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28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Садоводство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2</w:t>
            </w:r>
            <w:r>
              <w:t xml:space="preserve">9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Питомники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1.17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30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Животноводство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31.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Скотоводство</w:t>
            </w:r>
            <w:r>
              <w:t xml:space="preserve"> 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1.8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32.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Свиноводство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1.11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33.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Звероводство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1.9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34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Птицеводство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35.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Рыбоводство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1.13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36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Хранение и переработка сельскохозяйственной продукции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1.15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0,0067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37.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Обеспечение сельскохозяйственного производства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1.18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38.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Пчеловодство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1.12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39.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Ведение личного подсобного хозяйства на полевых участках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1.16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40.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Ведение огородничества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13.1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41.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Ведение садоводства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13.2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W w:w="9701" w:type="dxa"/>
            <w:textDirection w:val="lrTb"/>
            <w:noWrap w:val="false"/>
          </w:tcPr>
          <w:p>
            <w:pPr>
              <w:pStyle w:val="730"/>
              <w:jc w:val="center"/>
              <w:outlineLvl w:val="2"/>
            </w:pPr>
            <w: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42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Коммунальное обслуживание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3.1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43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Фармацевтическая промышленность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6.3.1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44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Пищевая промышленность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6.4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45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Строительная промышленность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6.6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46.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Историко-культурная деятельность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9.3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</w:t>
            </w:r>
            <w:r>
              <w:t xml:space="preserve">7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Энергетика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6.7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</w:t>
            </w:r>
            <w:r>
              <w:t xml:space="preserve">8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Связь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6.8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</w:t>
            </w:r>
            <w:r>
              <w:t xml:space="preserve">9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Склад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6.9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50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Автомобильный транспорт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7.2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</w:t>
            </w:r>
            <w:r>
              <w:t xml:space="preserve">1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Воздушный транспорт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7.4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52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Трубопроводный транспорт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7.5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</w:t>
            </w:r>
            <w:r>
              <w:t xml:space="preserve">3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Специальная деятельность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12.2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</w:t>
            </w:r>
            <w:r>
              <w:t xml:space="preserve">4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Гидротехнические сооружения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11.3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0,0241</w:t>
            </w:r>
            <w:r/>
          </w:p>
        </w:tc>
      </w:tr>
      <w:tr>
        <w:tblPrEx/>
        <w:trPr/>
        <w:tc>
          <w:tcPr>
            <w:gridSpan w:val="3"/>
            <w:tcW w:w="8284" w:type="dxa"/>
            <w:textDirection w:val="lrTb"/>
            <w:noWrap w:val="false"/>
          </w:tcPr>
          <w:p>
            <w:pPr>
              <w:pStyle w:val="730"/>
              <w:jc w:val="center"/>
              <w:outlineLvl w:val="2"/>
            </w:pPr>
            <w:r>
              <w:t xml:space="preserve">Земли особо охраняемых территорий и объектов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  <w:outlineLvl w:val="2"/>
            </w:pPr>
            <w:r/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55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Курортная деятельность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9.2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56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Санаторная деятельность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9.2.1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57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Развлечение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4.8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58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Спорт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59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Туристическое обслуживание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5.2.1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60</w:t>
            </w:r>
            <w:r>
              <w:t xml:space="preserve">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Деятельность в сфере охотничьего хозяйства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5.3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61.</w:t>
            </w:r>
            <w:r/>
          </w:p>
        </w:tc>
        <w:tc>
          <w:tcPr>
            <w:tcW w:w="6129" w:type="dxa"/>
            <w:textDirection w:val="lrTb"/>
            <w:noWrap w:val="false"/>
          </w:tcPr>
          <w:p>
            <w:pPr>
              <w:pStyle w:val="730"/>
              <w:jc w:val="both"/>
            </w:pPr>
            <w:r>
              <w:t xml:space="preserve">Рыболовство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5.3.1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0"/>
              <w:jc w:val="center"/>
            </w:pPr>
            <w:r>
              <w:t xml:space="preserve">0,015</w:t>
            </w:r>
            <w:r>
              <w:t xml:space="preserve">»</w:t>
            </w:r>
            <w:r/>
          </w:p>
        </w:tc>
      </w:tr>
    </w:tbl>
    <w:p>
      <w:pPr>
        <w:pStyle w:val="722"/>
        <w:ind w:firstLine="709"/>
        <w:jc w:val="both"/>
        <w:widowControl w:val="off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в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) п</w:t>
      </w:r>
      <w:r>
        <w:rPr>
          <w:rFonts w:ascii="PT Astra Serif" w:hAnsi="PT Astra Serif" w:eastAsia="Times New Roman"/>
          <w:color w:val="auto"/>
          <w:sz w:val="26"/>
          <w:szCs w:val="26"/>
          <w:lang w:eastAsia="ru-RU"/>
        </w:rPr>
        <w:t xml:space="preserve">ункт 4 признать утратившим силу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;</w:t>
      </w:r>
      <w:r>
        <w:rPr>
          <w:rFonts w:ascii="PT Astra Serif" w:hAnsi="PT Astra Serif"/>
          <w:color w:val="000000" w:themeColor="text1"/>
          <w:sz w:val="26"/>
          <w:szCs w:val="26"/>
        </w:rPr>
      </w:r>
    </w:p>
    <w:p>
      <w:pPr>
        <w:pStyle w:val="722"/>
        <w:ind w:firstLine="709"/>
        <w:widowControl w:val="off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г)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дополнить пунктом 4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.1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следующего содержания:</w:t>
      </w:r>
      <w:r>
        <w:rPr>
          <w:rFonts w:ascii="PT Astra Serif" w:hAnsi="PT Astra Serif"/>
          <w:color w:val="000000" w:themeColor="text1"/>
          <w:sz w:val="26"/>
          <w:szCs w:val="26"/>
        </w:rPr>
      </w:r>
    </w:p>
    <w:p>
      <w:pPr>
        <w:pStyle w:val="722"/>
        <w:ind w:firstLine="709"/>
        <w:jc w:val="both"/>
        <w:widowControl w:val="off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«4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.1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. В случае неисполнения стороной договора аренды земельного участка, находящегося в государственной собственности Республики Алтай, предоставленного без торгов в соответствии с Закон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ом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Республики Алтай от 11 мая 2016 г. № 37-РЗ </w:t>
      </w:r>
      <w:r>
        <w:rPr>
          <w:rFonts w:ascii="PT Astra Serif" w:hAnsi="PT Astra Serif"/>
          <w:color w:val="000000" w:themeColor="text1"/>
          <w:sz w:val="26"/>
          <w:szCs w:val="26"/>
        </w:rPr>
        <w:br/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«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мещения (реализации) которых допускается предоставление земельного участка, находящегося в государственной собственности, муниципальной собственности, а также земельного участка, государственная собственность на который не разграничена, в аренду без торгов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»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(далее - инвестор) обязательства по вводу объекта в эксплуатацию, инвестор обязуется выплатить в бюджет Республики Алтай штраф.</w:t>
      </w:r>
      <w:r>
        <w:rPr>
          <w:rFonts w:ascii="PT Astra Serif" w:hAnsi="PT Astra Serif"/>
          <w:color w:val="000000" w:themeColor="text1"/>
          <w:sz w:val="26"/>
          <w:szCs w:val="26"/>
        </w:rPr>
      </w:r>
    </w:p>
    <w:p>
      <w:pPr>
        <w:pStyle w:val="722"/>
        <w:ind w:firstLine="709"/>
        <w:jc w:val="both"/>
        <w:widowControl w:val="off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Размер штрафа определяется из ра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счета 100 процентов от размера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арендной платы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за год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, которая установлена договором аренды земельного участка (земельных участков), предоставл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енного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в аренду без проведения торгов, за каждый год срока действия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такого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договора аренды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,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начиная с даты его заключения до даты прекращения</w:t>
      </w:r>
      <w:r>
        <w:t xml:space="preserve">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договора аренды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. </w:t>
      </w:r>
      <w:r>
        <w:rPr>
          <w:rFonts w:ascii="PT Astra Serif" w:hAnsi="PT Astra Serif"/>
          <w:color w:val="000000" w:themeColor="text1"/>
          <w:sz w:val="26"/>
          <w:szCs w:val="26"/>
        </w:rPr>
      </w:r>
    </w:p>
    <w:p>
      <w:pPr>
        <w:pStyle w:val="722"/>
        <w:ind w:firstLine="709"/>
        <w:jc w:val="both"/>
        <w:widowControl w:val="off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За неполный год действия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договора аренды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размер штрафа определяется пропорционально количеству календарных дней действия договора</w:t>
      </w:r>
      <w:r>
        <w:t xml:space="preserve"> </w:t>
      </w:r>
      <w:r>
        <w:t xml:space="preserve">а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ренды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. </w:t>
      </w:r>
      <w:r>
        <w:rPr>
          <w:rFonts w:ascii="PT Astra Serif" w:hAnsi="PT Astra Serif"/>
          <w:color w:val="000000" w:themeColor="text1"/>
          <w:sz w:val="26"/>
          <w:szCs w:val="26"/>
        </w:rPr>
      </w:r>
    </w:p>
    <w:p>
      <w:pPr>
        <w:pStyle w:val="722"/>
        <w:ind w:firstLine="709"/>
        <w:jc w:val="both"/>
        <w:widowControl w:val="off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Срок, установленный для выплаты штрафа, определяется 90 календарными днями с даты прекращения договора аренды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земельного участка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.».</w:t>
      </w:r>
      <w:permEnd w:id="190201729"/>
      <w:r>
        <w:rPr>
          <w:rFonts w:ascii="PT Astra Serif" w:hAnsi="PT Astra Serif"/>
          <w:color w:val="000000" w:themeColor="text1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>
        <w:tblPrEx/>
        <w:trPr/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/>
            <w:permStart w:edGrp="everyone" w:id="2035289595"/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  <w:t xml:space="preserve">Республики Алтай </w:t>
            </w:r>
            <w:permEnd w:id="2035289595"/>
            <w:r/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W w:w="2410" w:type="dxa"/>
            <w:vAlign w:val="center"/>
            <w:textDirection w:val="lrTb"/>
            <w:noWrap w:val="false"/>
          </w:tcPr>
          <w:p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/>
            <w:bookmarkStart w:id="1" w:name="SIGNERSTAMP1"/>
            <w:r/>
            <w:bookmarkEnd w:id="1"/>
            <w:r/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r/>
            <w:bookmarkStart w:id="2" w:name="SIGNERNAME1"/>
            <w:r/>
            <w:bookmarkEnd w:id="2"/>
            <w:r/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</w:tr>
    </w:tbl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/>
      <w:bookmarkStart w:id="3" w:name="_GoBack"/>
      <w:r/>
      <w:bookmarkEnd w:id="3"/>
      <w:r/>
      <w:r>
        <w:rPr>
          <w:rFonts w:ascii="PT Astra Serif" w:hAnsi="PT Astra Serif" w:cs="Times New Roman"/>
          <w:sz w:val="26"/>
          <w:szCs w:val="26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rPr>
        <w:rFonts w:ascii="PT Astra Serif" w:hAnsi="PT Astra Serif"/>
      </w:rPr>
    </w:pPr>
    <w:r>
      <w:rPr>
        <w:rFonts w:ascii="PT Astra Serif" w:hAnsi="PT Astra Serif"/>
      </w:rPr>
    </w:r>
    <w:r>
      <w:rPr>
        <w:rFonts w:ascii="PT Astra Serif" w:hAnsi="PT Astra Serif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  <w:rPr>
        <w:rFonts w:ascii="PT Astra Serif" w:hAnsi="PT Astra Serif"/>
      </w:rPr>
    </w:pPr>
    <w:r>
      <w:rPr>
        <w:rFonts w:ascii="PT Astra Serif" w:hAnsi="PT Astra Serif"/>
      </w:rPr>
    </w:r>
    <w:r>
      <w:rPr>
        <w:rFonts w:ascii="PT Astra Serif" w:hAnsi="PT Astra Serif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enforcement="0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15"/>
    <w:next w:val="715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16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15"/>
    <w:next w:val="715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16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15"/>
    <w:next w:val="715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16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15"/>
    <w:next w:val="715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16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15"/>
    <w:next w:val="71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16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15"/>
    <w:next w:val="71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1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15"/>
    <w:next w:val="71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1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15"/>
    <w:next w:val="71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1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15"/>
    <w:next w:val="71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1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1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15"/>
    <w:next w:val="71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16"/>
    <w:link w:val="35"/>
    <w:uiPriority w:val="10"/>
    <w:rPr>
      <w:sz w:val="48"/>
      <w:szCs w:val="48"/>
    </w:rPr>
  </w:style>
  <w:style w:type="paragraph" w:styleId="37">
    <w:name w:val="Subtitle"/>
    <w:basedOn w:val="715"/>
    <w:next w:val="71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16"/>
    <w:link w:val="37"/>
    <w:uiPriority w:val="11"/>
    <w:rPr>
      <w:sz w:val="24"/>
      <w:szCs w:val="24"/>
    </w:rPr>
  </w:style>
  <w:style w:type="paragraph" w:styleId="39">
    <w:name w:val="Quote"/>
    <w:basedOn w:val="715"/>
    <w:next w:val="71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15"/>
    <w:next w:val="71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16"/>
    <w:link w:val="725"/>
    <w:uiPriority w:val="99"/>
  </w:style>
  <w:style w:type="character" w:styleId="46">
    <w:name w:val="Footer Char"/>
    <w:basedOn w:val="716"/>
    <w:link w:val="727"/>
    <w:uiPriority w:val="99"/>
  </w:style>
  <w:style w:type="paragraph" w:styleId="47">
    <w:name w:val="Caption"/>
    <w:basedOn w:val="715"/>
    <w:next w:val="71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16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15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16"/>
    <w:uiPriority w:val="99"/>
    <w:unhideWhenUsed/>
    <w:rPr>
      <w:vertAlign w:val="superscript"/>
    </w:rPr>
  </w:style>
  <w:style w:type="paragraph" w:styleId="179">
    <w:name w:val="endnote text"/>
    <w:basedOn w:val="71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16"/>
    <w:uiPriority w:val="99"/>
    <w:semiHidden/>
    <w:unhideWhenUsed/>
    <w:rPr>
      <w:vertAlign w:val="superscript"/>
    </w:rPr>
  </w:style>
  <w:style w:type="paragraph" w:styleId="182">
    <w:name w:val="toc 1"/>
    <w:basedOn w:val="715"/>
    <w:next w:val="71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15"/>
    <w:next w:val="71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15"/>
    <w:next w:val="71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15"/>
    <w:next w:val="71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15"/>
    <w:next w:val="71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15"/>
    <w:next w:val="71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15"/>
    <w:next w:val="71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15"/>
    <w:next w:val="71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15"/>
    <w:next w:val="71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15"/>
    <w:next w:val="715"/>
    <w:uiPriority w:val="99"/>
    <w:unhideWhenUsed/>
    <w:pPr>
      <w:spacing w:after="0" w:afterAutospacing="0"/>
    </w:pPr>
  </w:style>
  <w:style w:type="paragraph" w:styleId="715" w:default="1">
    <w:name w:val="Normal"/>
    <w:qFormat/>
  </w:style>
  <w:style w:type="character" w:styleId="716" w:default="1">
    <w:name w:val="Default Paragraph Font"/>
    <w:uiPriority w:val="1"/>
    <w:semiHidden/>
    <w:unhideWhenUsed/>
  </w:style>
  <w:style w:type="table" w:styleId="7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8" w:default="1">
    <w:name w:val="No List"/>
    <w:uiPriority w:val="99"/>
    <w:semiHidden/>
    <w:unhideWhenUsed/>
  </w:style>
  <w:style w:type="table" w:styleId="719">
    <w:name w:val="Table Grid"/>
    <w:basedOn w:val="71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20">
    <w:name w:val="Hyperlink"/>
    <w:basedOn w:val="716"/>
    <w:uiPriority w:val="99"/>
    <w:unhideWhenUsed/>
    <w:rPr>
      <w:color w:val="0000ff" w:themeColor="hyperlink"/>
      <w:u w:val="single"/>
    </w:rPr>
  </w:style>
  <w:style w:type="table" w:styleId="721" w:customStyle="1">
    <w:name w:val="Сетка таблицы1"/>
    <w:basedOn w:val="717"/>
    <w:next w:val="719"/>
    <w:uiPriority w:val="59"/>
    <w:pPr>
      <w:jc w:val="left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2" w:customStyle="1">
    <w:name w:val="Default"/>
    <w:pPr>
      <w:jc w:val="left"/>
    </w:pPr>
    <w:rPr>
      <w:rFonts w:ascii="Times New Roman" w:hAnsi="Times New Roman" w:eastAsia="Calibri" w:cs="Times New Roman"/>
      <w:color w:val="000000"/>
      <w:sz w:val="24"/>
      <w:szCs w:val="24"/>
    </w:rPr>
  </w:style>
  <w:style w:type="paragraph" w:styleId="723">
    <w:name w:val="Balloon Text"/>
    <w:basedOn w:val="715"/>
    <w:link w:val="724"/>
    <w:uiPriority w:val="99"/>
    <w:semiHidden/>
    <w:unhideWhenUsed/>
    <w:rPr>
      <w:rFonts w:ascii="Tahoma" w:hAnsi="Tahoma" w:cs="Tahoma"/>
      <w:sz w:val="16"/>
      <w:szCs w:val="16"/>
    </w:rPr>
  </w:style>
  <w:style w:type="character" w:styleId="724" w:customStyle="1">
    <w:name w:val="Текст выноски Знак"/>
    <w:basedOn w:val="716"/>
    <w:link w:val="723"/>
    <w:uiPriority w:val="99"/>
    <w:semiHidden/>
    <w:rPr>
      <w:rFonts w:ascii="Tahoma" w:hAnsi="Tahoma" w:cs="Tahoma"/>
      <w:sz w:val="16"/>
      <w:szCs w:val="16"/>
    </w:rPr>
  </w:style>
  <w:style w:type="paragraph" w:styleId="725">
    <w:name w:val="Header"/>
    <w:basedOn w:val="715"/>
    <w:link w:val="726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726" w:customStyle="1">
    <w:name w:val="Верхний колонтитул Знак"/>
    <w:basedOn w:val="716"/>
    <w:link w:val="725"/>
    <w:uiPriority w:val="99"/>
    <w:semiHidden/>
  </w:style>
  <w:style w:type="paragraph" w:styleId="727">
    <w:name w:val="Footer"/>
    <w:basedOn w:val="715"/>
    <w:link w:val="728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728" w:customStyle="1">
    <w:name w:val="Нижний колонтитул Знак"/>
    <w:basedOn w:val="716"/>
    <w:link w:val="727"/>
    <w:uiPriority w:val="99"/>
    <w:semiHidden/>
  </w:style>
  <w:style w:type="paragraph" w:styleId="729">
    <w:name w:val="Normal (Web)"/>
    <w:basedOn w:val="715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730" w:customStyle="1">
    <w:name w:val="ConsPlusNormal"/>
    <w:pPr>
      <w:jc w:val="left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Маташев Владимир Алексеевич</cp:lastModifiedBy>
  <cp:revision>38</cp:revision>
  <dcterms:created xsi:type="dcterms:W3CDTF">2024-06-20T09:55:00Z</dcterms:created>
  <dcterms:modified xsi:type="dcterms:W3CDTF">2026-09-30T08:06:15Z</dcterms:modified>
</cp:coreProperties>
</file>